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957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CellMar>
          <w:left w:w="0" w:type="dxa"/>
          <w:right w:w="115" w:type="dxa"/>
        </w:tblCellMar>
        <w:tblLook w:val="01E0" w:firstRow="1" w:lastRow="1" w:firstColumn="1" w:lastColumn="1" w:noHBand="0" w:noVBand="0"/>
      </w:tblPr>
      <w:tblGrid>
        <w:gridCol w:w="1915"/>
        <w:gridCol w:w="3895"/>
        <w:gridCol w:w="3766"/>
      </w:tblGrid>
      <w:tr w:rsidR="00DA52CB" w14:paraId="4D3012A5" w14:textId="77777777">
        <w:trPr>
          <w:trHeight w:val="1790"/>
        </w:trPr>
        <w:tc>
          <w:tcPr>
            <w:tcW w:w="1915" w:type="dxa"/>
            <w:shd w:val="clear" w:color="auto" w:fill="FFFFFF"/>
          </w:tcPr>
          <w:p w14:paraId="3A54EDF6" w14:textId="77777777" w:rsidR="00DA52CB" w:rsidRDefault="00305BCF" w:rsidP="00765BBF">
            <w:bookmarkStart w:id="0" w:name="logo"/>
            <w:bookmarkStart w:id="1" w:name="_GoBack"/>
            <w:bookmarkEnd w:id="1"/>
            <w:r>
              <w:rPr>
                <w:noProof/>
                <w:lang w:val="en-US"/>
              </w:rPr>
              <w:drawing>
                <wp:inline distT="0" distB="0" distL="0" distR="0" wp14:anchorId="1026458F" wp14:editId="27473CFE">
                  <wp:extent cx="1085850" cy="876300"/>
                  <wp:effectExtent l="19050" t="0" r="0" b="0"/>
                  <wp:docPr id="1" name="Picture 1" descr="ICA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OBIG"/>
                          <pic:cNvPicPr>
                            <a:picLocks noChangeAspect="1" noChangeArrowheads="1"/>
                          </pic:cNvPicPr>
                        </pic:nvPicPr>
                        <pic:blipFill>
                          <a:blip r:embed="rId11" cstate="print"/>
                          <a:srcRect/>
                          <a:stretch>
                            <a:fillRect/>
                          </a:stretch>
                        </pic:blipFill>
                        <pic:spPr bwMode="auto">
                          <a:xfrm>
                            <a:off x="0" y="0"/>
                            <a:ext cx="1085850" cy="876300"/>
                          </a:xfrm>
                          <a:prstGeom prst="rect">
                            <a:avLst/>
                          </a:prstGeom>
                          <a:noFill/>
                          <a:ln w="9525">
                            <a:noFill/>
                            <a:miter lim="800000"/>
                            <a:headEnd/>
                            <a:tailEnd/>
                          </a:ln>
                        </pic:spPr>
                      </pic:pic>
                    </a:graphicData>
                  </a:graphic>
                </wp:inline>
              </w:drawing>
            </w:r>
            <w:bookmarkEnd w:id="0"/>
          </w:p>
        </w:tc>
        <w:tc>
          <w:tcPr>
            <w:tcW w:w="3895" w:type="dxa"/>
            <w:shd w:val="clear" w:color="auto" w:fill="FFFFFF"/>
            <w:tcMar>
              <w:right w:w="0" w:type="dxa"/>
            </w:tcMar>
          </w:tcPr>
          <w:p w14:paraId="64CF0BC7" w14:textId="77777777" w:rsidR="00E92E4B" w:rsidRPr="00AF4D16" w:rsidRDefault="00E92E4B" w:rsidP="00E92E4B">
            <w:pPr>
              <w:rPr>
                <w:rFonts w:ascii="Arial" w:hAnsi="Arial" w:cs="Arial"/>
                <w:szCs w:val="22"/>
                <w:u w:val="single"/>
              </w:rPr>
            </w:pPr>
            <w:r w:rsidRPr="00AF4D16">
              <w:rPr>
                <w:rFonts w:ascii="Arial" w:hAnsi="Arial" w:cs="Arial"/>
                <w:szCs w:val="22"/>
                <w:u w:val="single"/>
              </w:rPr>
              <w:t>International Civil Aviation Organization</w:t>
            </w:r>
          </w:p>
          <w:p w14:paraId="7603B877" w14:textId="77777777" w:rsidR="00E92E4B" w:rsidRPr="00AF4D16" w:rsidRDefault="00E92E4B" w:rsidP="00E92E4B">
            <w:pPr>
              <w:rPr>
                <w:rFonts w:ascii="Arial" w:hAnsi="Arial" w:cs="Arial"/>
                <w:szCs w:val="22"/>
              </w:rPr>
            </w:pPr>
          </w:p>
          <w:p w14:paraId="07C8B202" w14:textId="77777777" w:rsidR="00E92E4B" w:rsidRDefault="00E92E4B" w:rsidP="00E92E4B">
            <w:pPr>
              <w:rPr>
                <w:rFonts w:ascii="Arial" w:hAnsi="Arial" w:cs="Arial"/>
                <w:szCs w:val="22"/>
              </w:rPr>
            </w:pPr>
            <w:r w:rsidRPr="00AF4D16">
              <w:rPr>
                <w:rFonts w:ascii="Arial" w:hAnsi="Arial" w:cs="Arial"/>
                <w:b/>
                <w:szCs w:val="22"/>
              </w:rPr>
              <w:t>WORKING PAPER</w:t>
            </w:r>
          </w:p>
          <w:p w14:paraId="6739C26B" w14:textId="77777777" w:rsidR="00DA52CB" w:rsidRPr="00C95053" w:rsidRDefault="00DA52CB" w:rsidP="00DA52CB">
            <w:pPr>
              <w:rPr>
                <w:rFonts w:ascii="Arial" w:hAnsi="Arial" w:cs="Arial"/>
                <w:szCs w:val="22"/>
              </w:rPr>
            </w:pPr>
          </w:p>
        </w:tc>
        <w:tc>
          <w:tcPr>
            <w:tcW w:w="3766" w:type="dxa"/>
            <w:shd w:val="clear" w:color="auto" w:fill="FFFFFF"/>
          </w:tcPr>
          <w:tbl>
            <w:tblPr>
              <w:tblStyle w:val="TableGrid"/>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56"/>
            </w:tblGrid>
            <w:tr w:rsidR="00DA52CB" w14:paraId="3DCD0F54" w14:textId="77777777" w:rsidTr="00F26CCC">
              <w:trPr>
                <w:jc w:val="right"/>
              </w:trPr>
              <w:tc>
                <w:tcPr>
                  <w:tcW w:w="0" w:type="auto"/>
                </w:tcPr>
                <w:p w14:paraId="1AA4E0E8" w14:textId="69383EBF" w:rsidR="00E92E4B" w:rsidRPr="00DE5572" w:rsidRDefault="00F9320E" w:rsidP="00005568">
                  <w:pPr>
                    <w:framePr w:hSpace="180" w:wrap="around" w:vAnchor="text" w:hAnchor="text" w:y="1"/>
                    <w:suppressOverlap/>
                    <w:jc w:val="left"/>
                    <w:rPr>
                      <w:sz w:val="20"/>
                      <w:szCs w:val="20"/>
                    </w:rPr>
                  </w:pPr>
                  <w:bookmarkStart w:id="2" w:name="document_no"/>
                  <w:r>
                    <w:rPr>
                      <w:sz w:val="20"/>
                      <w:szCs w:val="20"/>
                    </w:rPr>
                    <w:t>METP/4</w:t>
                  </w:r>
                  <w:r w:rsidR="00E92E4B" w:rsidRPr="00DE5572">
                    <w:rPr>
                      <w:sz w:val="20"/>
                      <w:szCs w:val="20"/>
                    </w:rPr>
                    <w:t xml:space="preserve"> – SN No. </w:t>
                  </w:r>
                  <w:proofErr w:type="spellStart"/>
                  <w:r w:rsidR="00E92E4B">
                    <w:rPr>
                      <w:sz w:val="20"/>
                      <w:szCs w:val="20"/>
                    </w:rPr>
                    <w:t>xx</w:t>
                  </w:r>
                  <w:r w:rsidR="00E92E4B" w:rsidRPr="00BC0C0E">
                    <w:rPr>
                      <w:sz w:val="20"/>
                      <w:szCs w:val="20"/>
                    </w:rPr>
                    <w:t>xx</w:t>
                  </w:r>
                  <w:bookmarkEnd w:id="2"/>
                  <w:proofErr w:type="spellEnd"/>
                </w:p>
                <w:p w14:paraId="2EDF0B9B" w14:textId="4254D9EE" w:rsidR="00A2022F" w:rsidRPr="00A2022F" w:rsidRDefault="00E92E4B" w:rsidP="00005568">
                  <w:pPr>
                    <w:framePr w:hSpace="180" w:wrap="around" w:vAnchor="text" w:hAnchor="text" w:y="1"/>
                    <w:suppressOverlap/>
                    <w:jc w:val="left"/>
                    <w:rPr>
                      <w:b/>
                    </w:rPr>
                  </w:pPr>
                  <w:bookmarkStart w:id="3" w:name="restricted"/>
                  <w:bookmarkStart w:id="4" w:name="addendum_corrigendum_appendix"/>
                  <w:bookmarkStart w:id="5" w:name="revision_no"/>
                  <w:bookmarkStart w:id="6" w:name="revision_date"/>
                  <w:bookmarkStart w:id="7" w:name="related_to"/>
                  <w:bookmarkStart w:id="8" w:name="date"/>
                  <w:bookmarkEnd w:id="3"/>
                  <w:bookmarkEnd w:id="4"/>
                  <w:bookmarkEnd w:id="5"/>
                  <w:bookmarkEnd w:id="6"/>
                  <w:bookmarkEnd w:id="7"/>
                  <w:proofErr w:type="spellStart"/>
                  <w:r w:rsidRPr="00BC0C0E">
                    <w:rPr>
                      <w:sz w:val="18"/>
                      <w:szCs w:val="18"/>
                    </w:rPr>
                    <w:t>dd</w:t>
                  </w:r>
                  <w:proofErr w:type="spellEnd"/>
                  <w:r w:rsidRPr="00BC0C0E">
                    <w:rPr>
                      <w:sz w:val="18"/>
                      <w:szCs w:val="18"/>
                    </w:rPr>
                    <w:t>/mm</w:t>
                  </w:r>
                  <w:r w:rsidRPr="006C30D2">
                    <w:rPr>
                      <w:sz w:val="18"/>
                      <w:szCs w:val="18"/>
                    </w:rPr>
                    <w:t>/1</w:t>
                  </w:r>
                  <w:bookmarkStart w:id="9" w:name="info_paper"/>
                  <w:bookmarkEnd w:id="8"/>
                  <w:bookmarkEnd w:id="9"/>
                  <w:r>
                    <w:rPr>
                      <w:sz w:val="18"/>
                      <w:szCs w:val="18"/>
                    </w:rPr>
                    <w:t>8</w:t>
                  </w:r>
                </w:p>
              </w:tc>
            </w:tr>
            <w:tr w:rsidR="00DA52CB" w14:paraId="524E8B49" w14:textId="77777777" w:rsidTr="00F26CCC">
              <w:trPr>
                <w:jc w:val="right"/>
              </w:trPr>
              <w:tc>
                <w:tcPr>
                  <w:tcW w:w="0" w:type="auto"/>
                </w:tcPr>
                <w:p w14:paraId="7ED1D112" w14:textId="77777777" w:rsidR="00DA52CB" w:rsidRPr="00D17232" w:rsidRDefault="00DA52CB" w:rsidP="00005568">
                  <w:pPr>
                    <w:framePr w:hSpace="180" w:wrap="around" w:vAnchor="text" w:hAnchor="text" w:y="1"/>
                    <w:suppressOverlap/>
                    <w:jc w:val="left"/>
                    <w:rPr>
                      <w:szCs w:val="22"/>
                    </w:rPr>
                  </w:pPr>
                  <w:bookmarkStart w:id="10" w:name="language"/>
                  <w:bookmarkEnd w:id="10"/>
                </w:p>
              </w:tc>
            </w:tr>
          </w:tbl>
          <w:p w14:paraId="2A425127" w14:textId="77777777" w:rsidR="00DA52CB" w:rsidRPr="003B465A" w:rsidRDefault="00DA52CB" w:rsidP="00DA52CB">
            <w:pPr>
              <w:tabs>
                <w:tab w:val="left" w:pos="720"/>
                <w:tab w:val="left" w:pos="1440"/>
                <w:tab w:val="left" w:pos="1800"/>
                <w:tab w:val="left" w:pos="2160"/>
                <w:tab w:val="left" w:pos="2520"/>
                <w:tab w:val="left" w:pos="2880"/>
              </w:tabs>
              <w:ind w:left="4320"/>
              <w:rPr>
                <w:b/>
                <w:sz w:val="18"/>
                <w:szCs w:val="18"/>
              </w:rPr>
            </w:pPr>
          </w:p>
        </w:tc>
      </w:tr>
    </w:tbl>
    <w:p w14:paraId="7E6A2D91" w14:textId="77777777" w:rsidR="00E92E4B" w:rsidRPr="00456E6D" w:rsidRDefault="00E92E4B" w:rsidP="00E92E4B">
      <w:pPr>
        <w:jc w:val="center"/>
        <w:rPr>
          <w:rFonts w:asciiTheme="majorHAnsi" w:hAnsiTheme="majorHAnsi"/>
          <w:b/>
          <w:sz w:val="24"/>
        </w:rPr>
      </w:pPr>
      <w:bookmarkStart w:id="11" w:name="text_above"/>
      <w:bookmarkStart w:id="12" w:name="text_below"/>
      <w:bookmarkEnd w:id="11"/>
      <w:r>
        <w:rPr>
          <w:b/>
          <w:sz w:val="26"/>
          <w:szCs w:val="26"/>
        </w:rPr>
        <w:t>MEETING OF THE METEOROLOGY PANEL</w:t>
      </w:r>
      <w:r w:rsidRPr="00456E6D">
        <w:rPr>
          <w:rFonts w:asciiTheme="majorHAnsi" w:hAnsiTheme="majorHAnsi"/>
          <w:b/>
          <w:sz w:val="24"/>
        </w:rPr>
        <w:t xml:space="preserve"> (METP)</w:t>
      </w:r>
    </w:p>
    <w:p w14:paraId="4A630830" w14:textId="77777777" w:rsidR="00E92E4B" w:rsidRPr="00456E6D" w:rsidRDefault="00E92E4B" w:rsidP="00E92E4B">
      <w:pPr>
        <w:jc w:val="center"/>
        <w:rPr>
          <w:rFonts w:asciiTheme="majorHAnsi" w:hAnsiTheme="majorHAnsi"/>
          <w:b/>
        </w:rPr>
      </w:pPr>
      <w:r w:rsidRPr="00456E6D">
        <w:rPr>
          <w:rFonts w:asciiTheme="majorHAnsi" w:hAnsiTheme="majorHAnsi"/>
          <w:b/>
          <w:sz w:val="24"/>
        </w:rPr>
        <w:t xml:space="preserve"> </w:t>
      </w:r>
    </w:p>
    <w:p w14:paraId="543E04A9" w14:textId="06AACC63" w:rsidR="00E92E4B" w:rsidRPr="003F429A" w:rsidRDefault="00F9320E" w:rsidP="00E92E4B">
      <w:pPr>
        <w:jc w:val="center"/>
        <w:rPr>
          <w:b/>
          <w:szCs w:val="22"/>
        </w:rPr>
      </w:pPr>
      <w:r>
        <w:rPr>
          <w:rFonts w:asciiTheme="majorHAnsi" w:hAnsiTheme="majorHAnsi"/>
          <w:b/>
          <w:szCs w:val="22"/>
        </w:rPr>
        <w:t>FOURTH</w:t>
      </w:r>
      <w:r w:rsidR="00E92E4B">
        <w:rPr>
          <w:rFonts w:asciiTheme="majorHAnsi" w:hAnsiTheme="majorHAnsi"/>
          <w:b/>
          <w:szCs w:val="22"/>
        </w:rPr>
        <w:t xml:space="preserve"> </w:t>
      </w:r>
      <w:r w:rsidR="00E92E4B" w:rsidRPr="00456E6D">
        <w:rPr>
          <w:rFonts w:asciiTheme="majorHAnsi" w:hAnsiTheme="majorHAnsi"/>
          <w:b/>
          <w:szCs w:val="22"/>
        </w:rPr>
        <w:t>MEETING</w:t>
      </w:r>
    </w:p>
    <w:bookmarkEnd w:id="12"/>
    <w:p w14:paraId="6A459E75" w14:textId="77777777" w:rsidR="00E92E4B" w:rsidRPr="00D17232" w:rsidRDefault="00E92E4B" w:rsidP="00E92E4B"/>
    <w:p w14:paraId="2E6795B3" w14:textId="71A92188" w:rsidR="0097442A" w:rsidRPr="00A26F39" w:rsidRDefault="00E92E4B" w:rsidP="00E92E4B">
      <w:pPr>
        <w:jc w:val="center"/>
        <w:rPr>
          <w:b/>
          <w:szCs w:val="22"/>
        </w:rPr>
      </w:pPr>
      <w:bookmarkStart w:id="13" w:name="city_from_to"/>
      <w:r>
        <w:rPr>
          <w:b/>
          <w:szCs w:val="22"/>
        </w:rPr>
        <w:t>Montr</w:t>
      </w:r>
      <w:r w:rsidRPr="00E0659A">
        <w:rPr>
          <w:b/>
          <w:szCs w:val="22"/>
        </w:rPr>
        <w:t>éa</w:t>
      </w:r>
      <w:r>
        <w:rPr>
          <w:b/>
          <w:szCs w:val="22"/>
        </w:rPr>
        <w:t xml:space="preserve">l, 10 to 14 September </w:t>
      </w:r>
      <w:r w:rsidRPr="00701153">
        <w:rPr>
          <w:b/>
          <w:szCs w:val="22"/>
        </w:rPr>
        <w:t>201</w:t>
      </w:r>
      <w:bookmarkEnd w:id="13"/>
      <w:r>
        <w:rPr>
          <w:b/>
          <w:szCs w:val="22"/>
        </w:rPr>
        <w:t>8</w:t>
      </w:r>
    </w:p>
    <w:p w14:paraId="56E6B60A" w14:textId="77777777" w:rsidR="00DA52CB" w:rsidRPr="00A26F39" w:rsidRDefault="00DA52CB" w:rsidP="00DA52CB">
      <w:pPr>
        <w:jc w:val="center"/>
        <w:rPr>
          <w:b/>
          <w:szCs w:val="22"/>
        </w:rPr>
      </w:pPr>
    </w:p>
    <w:p w14:paraId="6BE27872" w14:textId="77777777" w:rsidR="00DA52CB" w:rsidRPr="005B0D1C" w:rsidRDefault="00DA52CB" w:rsidP="00DA52CB">
      <w:pPr>
        <w:jc w:val="center"/>
        <w:rPr>
          <w:b/>
          <w:szCs w:val="22"/>
        </w:rPr>
      </w:pPr>
      <w:bookmarkStart w:id="14" w:name="title_below_city_from_to"/>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0" w:type="dxa"/>
        </w:tblCellMar>
        <w:tblLook w:val="04A0" w:firstRow="1" w:lastRow="0" w:firstColumn="1" w:lastColumn="0" w:noHBand="0" w:noVBand="1"/>
      </w:tblPr>
      <w:tblGrid>
        <w:gridCol w:w="1267"/>
        <w:gridCol w:w="399"/>
        <w:gridCol w:w="3240"/>
      </w:tblGrid>
      <w:tr w:rsidR="000E51FC" w14:paraId="1A5AE12C" w14:textId="77777777" w:rsidTr="00450045">
        <w:tc>
          <w:tcPr>
            <w:tcW w:w="0" w:type="auto"/>
            <w:shd w:val="clear" w:color="auto" w:fill="auto"/>
            <w:noWrap/>
          </w:tcPr>
          <w:p w14:paraId="6A338CF2" w14:textId="77777777" w:rsidR="005E422A" w:rsidRPr="0084288C" w:rsidRDefault="005E422A" w:rsidP="00450045">
            <w:pPr>
              <w:rPr>
                <w:b/>
                <w:szCs w:val="22"/>
              </w:rPr>
            </w:pPr>
            <w:r w:rsidRPr="0084288C">
              <w:rPr>
                <w:b/>
                <w:szCs w:val="22"/>
              </w:rPr>
              <w:t>Agenda Item</w:t>
            </w:r>
          </w:p>
        </w:tc>
        <w:tc>
          <w:tcPr>
            <w:tcW w:w="0" w:type="auto"/>
            <w:shd w:val="clear" w:color="auto" w:fill="auto"/>
            <w:noWrap/>
          </w:tcPr>
          <w:p w14:paraId="0CD8A277" w14:textId="3B7020E7" w:rsidR="005E422A" w:rsidRDefault="0016186D" w:rsidP="00450045">
            <w:pPr>
              <w:rPr>
                <w:b/>
                <w:szCs w:val="22"/>
              </w:rPr>
            </w:pPr>
            <w:r>
              <w:rPr>
                <w:b/>
                <w:szCs w:val="22"/>
              </w:rPr>
              <w:t>6</w:t>
            </w:r>
            <w:r w:rsidR="005E422A" w:rsidRPr="0084288C">
              <w:rPr>
                <w:b/>
                <w:szCs w:val="22"/>
              </w:rPr>
              <w:t>:</w:t>
            </w:r>
          </w:p>
          <w:p w14:paraId="56B31088" w14:textId="6DDD621B" w:rsidR="00A33BBB" w:rsidRPr="0084288C" w:rsidRDefault="00A33BBB" w:rsidP="00450045">
            <w:pPr>
              <w:rPr>
                <w:b/>
                <w:szCs w:val="22"/>
              </w:rPr>
            </w:pPr>
            <w:r>
              <w:rPr>
                <w:b/>
                <w:szCs w:val="22"/>
              </w:rPr>
              <w:t>4.4:</w:t>
            </w:r>
          </w:p>
        </w:tc>
        <w:tc>
          <w:tcPr>
            <w:tcW w:w="0" w:type="auto"/>
            <w:shd w:val="clear" w:color="auto" w:fill="auto"/>
          </w:tcPr>
          <w:p w14:paraId="14835175" w14:textId="516FF413" w:rsidR="005E422A" w:rsidRDefault="00E92E4B" w:rsidP="00450045">
            <w:pPr>
              <w:rPr>
                <w:b/>
                <w:szCs w:val="22"/>
              </w:rPr>
            </w:pPr>
            <w:r>
              <w:rPr>
                <w:b/>
                <w:szCs w:val="22"/>
              </w:rPr>
              <w:t xml:space="preserve">Meteorological </w:t>
            </w:r>
            <w:r w:rsidR="000E51FC">
              <w:rPr>
                <w:b/>
                <w:szCs w:val="22"/>
              </w:rPr>
              <w:t>O</w:t>
            </w:r>
            <w:r>
              <w:rPr>
                <w:b/>
                <w:szCs w:val="22"/>
              </w:rPr>
              <w:t>perations</w:t>
            </w:r>
            <w:r w:rsidR="0016186D">
              <w:rPr>
                <w:b/>
                <w:szCs w:val="22"/>
              </w:rPr>
              <w:t xml:space="preserve"> </w:t>
            </w:r>
            <w:r w:rsidR="000E51FC">
              <w:rPr>
                <w:b/>
                <w:szCs w:val="22"/>
              </w:rPr>
              <w:t>G</w:t>
            </w:r>
            <w:r w:rsidR="00D84117">
              <w:rPr>
                <w:b/>
                <w:szCs w:val="22"/>
              </w:rPr>
              <w:t>roup</w:t>
            </w:r>
          </w:p>
          <w:p w14:paraId="2E8E0B79" w14:textId="4B0A8C02" w:rsidR="00A33BBB" w:rsidRPr="0084288C" w:rsidRDefault="002B128B" w:rsidP="002B128B">
            <w:pPr>
              <w:rPr>
                <w:b/>
                <w:szCs w:val="22"/>
              </w:rPr>
            </w:pPr>
            <w:r>
              <w:rPr>
                <w:b/>
                <w:szCs w:val="22"/>
              </w:rPr>
              <w:t>World area forecast system</w:t>
            </w:r>
          </w:p>
        </w:tc>
      </w:tr>
      <w:tr w:rsidR="000E51FC" w14:paraId="44236B33" w14:textId="77777777" w:rsidTr="00450045">
        <w:tc>
          <w:tcPr>
            <w:tcW w:w="0" w:type="auto"/>
            <w:shd w:val="clear" w:color="auto" w:fill="auto"/>
            <w:noWrap/>
          </w:tcPr>
          <w:p w14:paraId="2B7D2203" w14:textId="77777777" w:rsidR="005E422A" w:rsidRPr="0084288C" w:rsidRDefault="005E422A" w:rsidP="00450045">
            <w:pPr>
              <w:rPr>
                <w:b/>
                <w:szCs w:val="22"/>
              </w:rPr>
            </w:pPr>
          </w:p>
        </w:tc>
        <w:tc>
          <w:tcPr>
            <w:tcW w:w="0" w:type="auto"/>
            <w:shd w:val="clear" w:color="auto" w:fill="auto"/>
            <w:noWrap/>
          </w:tcPr>
          <w:p w14:paraId="7A8E9C70" w14:textId="2EC8DF15" w:rsidR="005E422A" w:rsidRPr="0084288C" w:rsidRDefault="005E422A" w:rsidP="00F802CC">
            <w:pPr>
              <w:rPr>
                <w:b/>
                <w:szCs w:val="22"/>
              </w:rPr>
            </w:pPr>
          </w:p>
        </w:tc>
        <w:tc>
          <w:tcPr>
            <w:tcW w:w="0" w:type="auto"/>
            <w:shd w:val="clear" w:color="auto" w:fill="auto"/>
          </w:tcPr>
          <w:p w14:paraId="4C145C3D" w14:textId="724575C5" w:rsidR="005E422A" w:rsidRPr="0084288C" w:rsidRDefault="005E422A" w:rsidP="00450045">
            <w:pPr>
              <w:rPr>
                <w:b/>
                <w:szCs w:val="22"/>
              </w:rPr>
            </w:pPr>
          </w:p>
        </w:tc>
      </w:tr>
    </w:tbl>
    <w:p w14:paraId="1DD4519B" w14:textId="77777777" w:rsidR="00DA52CB" w:rsidRPr="007307A8" w:rsidRDefault="00DA52CB" w:rsidP="00DA52CB">
      <w:pPr>
        <w:rPr>
          <w:szCs w:val="22"/>
        </w:rPr>
      </w:pPr>
      <w:bookmarkStart w:id="15" w:name="agenda_item"/>
      <w:bookmarkEnd w:id="15"/>
    </w:p>
    <w:p w14:paraId="754B651F" w14:textId="77777777" w:rsidR="00DA52CB" w:rsidRDefault="003F3C10" w:rsidP="00C57ED2">
      <w:pPr>
        <w:pStyle w:val="TitleMain"/>
      </w:pPr>
      <w:r>
        <w:t>PROPOSED R</w:t>
      </w:r>
      <w:r w:rsidR="00AE057F">
        <w:t xml:space="preserve">EVISION </w:t>
      </w:r>
      <w:r w:rsidR="004516AE" w:rsidRPr="004516AE">
        <w:rPr>
          <w:bCs/>
          <w:caps/>
        </w:rPr>
        <w:t xml:space="preserve">to eddy dissipation rate (EDR) values in Annex 3 </w:t>
      </w:r>
    </w:p>
    <w:p w14:paraId="687350D8" w14:textId="77777777" w:rsidR="00DA52CB" w:rsidRPr="007307A8" w:rsidRDefault="00DA52CB" w:rsidP="00DA52CB">
      <w:pPr>
        <w:jc w:val="center"/>
        <w:rPr>
          <w:b/>
          <w:szCs w:val="22"/>
        </w:rPr>
      </w:pPr>
    </w:p>
    <w:p w14:paraId="2AF14E9A" w14:textId="0B298A9E" w:rsidR="00DA52CB" w:rsidRPr="007307A8" w:rsidRDefault="00765BBF" w:rsidP="00765BBF">
      <w:pPr>
        <w:ind w:left="1080" w:right="1080"/>
        <w:jc w:val="center"/>
        <w:rPr>
          <w:szCs w:val="22"/>
        </w:rPr>
      </w:pPr>
      <w:bookmarkStart w:id="16" w:name="presented_by"/>
      <w:r>
        <w:rPr>
          <w:szCs w:val="22"/>
        </w:rPr>
        <w:t xml:space="preserve">(Presented by </w:t>
      </w:r>
      <w:r w:rsidR="000E51FC">
        <w:rPr>
          <w:szCs w:val="22"/>
        </w:rPr>
        <w:t>Colin Hord – Rapporteur MET Operations Group</w:t>
      </w:r>
      <w:r>
        <w:rPr>
          <w:szCs w:val="22"/>
        </w:rPr>
        <w:t>)</w:t>
      </w:r>
      <w:bookmarkEnd w:id="16"/>
    </w:p>
    <w:p w14:paraId="06614583" w14:textId="77777777" w:rsidR="00DA52CB" w:rsidRDefault="00765BBF" w:rsidP="00DA52CB">
      <w:pPr>
        <w:jc w:val="center"/>
        <w:rPr>
          <w:b/>
          <w:szCs w:val="22"/>
        </w:rPr>
      </w:pPr>
      <w:bookmarkStart w:id="17" w:name="addendum_below_title"/>
      <w:bookmarkEnd w:id="17"/>
      <w:r>
        <w:rPr>
          <w:b/>
          <w:szCs w:val="22"/>
        </w:rPr>
        <w:t xml:space="preserve"> </w:t>
      </w:r>
    </w:p>
    <w:tbl>
      <w:tblPr>
        <w:tblStyle w:val="TableGrid"/>
        <w:tblW w:w="7200" w:type="dxa"/>
        <w:jc w:val="center"/>
        <w:tblCellMar>
          <w:top w:w="120" w:type="dxa"/>
          <w:left w:w="120" w:type="dxa"/>
          <w:right w:w="120" w:type="dxa"/>
        </w:tblCellMar>
        <w:tblLook w:val="04A0" w:firstRow="1" w:lastRow="0" w:firstColumn="1" w:lastColumn="0" w:noHBand="0" w:noVBand="1"/>
      </w:tblPr>
      <w:tblGrid>
        <w:gridCol w:w="7200"/>
      </w:tblGrid>
      <w:tr w:rsidR="005E422A" w14:paraId="098ECB31" w14:textId="77777777" w:rsidTr="00725F8B">
        <w:trPr>
          <w:jc w:val="center"/>
        </w:trPr>
        <w:tc>
          <w:tcPr>
            <w:tcW w:w="7200" w:type="dxa"/>
            <w:tcBorders>
              <w:bottom w:val="nil"/>
            </w:tcBorders>
          </w:tcPr>
          <w:p w14:paraId="0F88AE2E" w14:textId="77777777" w:rsidR="005E422A" w:rsidRPr="0084288C" w:rsidRDefault="005E422A" w:rsidP="00450045">
            <w:pPr>
              <w:jc w:val="center"/>
              <w:rPr>
                <w:b/>
                <w:szCs w:val="22"/>
              </w:rPr>
            </w:pPr>
            <w:bookmarkStart w:id="18" w:name="document_no_below_title"/>
            <w:bookmarkEnd w:id="18"/>
            <w:r w:rsidRPr="0084288C">
              <w:rPr>
                <w:b/>
                <w:szCs w:val="22"/>
              </w:rPr>
              <w:t>SUMMARY</w:t>
            </w:r>
          </w:p>
        </w:tc>
      </w:tr>
      <w:tr w:rsidR="005E422A" w14:paraId="37BE4D20" w14:textId="77777777" w:rsidTr="00725F8B">
        <w:trPr>
          <w:jc w:val="center"/>
        </w:trPr>
        <w:tc>
          <w:tcPr>
            <w:tcW w:w="7200" w:type="dxa"/>
            <w:tcBorders>
              <w:top w:val="nil"/>
            </w:tcBorders>
            <w:shd w:val="clear" w:color="auto" w:fill="auto"/>
          </w:tcPr>
          <w:p w14:paraId="61FC0206" w14:textId="5AD62BB4" w:rsidR="00577C6F" w:rsidRDefault="00725F8B" w:rsidP="003F3C10">
            <w:r>
              <w:t xml:space="preserve">This paper presents revised values of eddy dissipation rate (EDR) for aircraft turbulence within Annex 3 to be consolidated with other changes for Amendment 79 to </w:t>
            </w:r>
            <w:r w:rsidR="00577C6F">
              <w:t xml:space="preserve">Annex 3 </w:t>
            </w:r>
            <w:r>
              <w:t>(applicable November 2020).</w:t>
            </w:r>
          </w:p>
          <w:p w14:paraId="78BDAB9E" w14:textId="77777777" w:rsidR="00577C6F" w:rsidRDefault="00577C6F" w:rsidP="003F3C10"/>
          <w:p w14:paraId="44B03A6D" w14:textId="5187FE8E" w:rsidR="005E422A" w:rsidRPr="0084288C" w:rsidRDefault="005E422A" w:rsidP="005E422A">
            <w:pPr>
              <w:jc w:val="left"/>
              <w:rPr>
                <w:szCs w:val="22"/>
              </w:rPr>
            </w:pPr>
            <w:r w:rsidRPr="0084288C">
              <w:rPr>
                <w:szCs w:val="22"/>
              </w:rPr>
              <w:t xml:space="preserve">Action by the </w:t>
            </w:r>
            <w:r w:rsidR="00733F67">
              <w:rPr>
                <w:szCs w:val="22"/>
              </w:rPr>
              <w:t>METP/4</w:t>
            </w:r>
            <w:r w:rsidR="00A43425">
              <w:rPr>
                <w:szCs w:val="22"/>
              </w:rPr>
              <w:t xml:space="preserve"> i</w:t>
            </w:r>
            <w:r w:rsidRPr="0084288C">
              <w:rPr>
                <w:szCs w:val="22"/>
              </w:rPr>
              <w:t>s in paragraph</w:t>
            </w:r>
            <w:r w:rsidR="00725F8B">
              <w:rPr>
                <w:szCs w:val="22"/>
              </w:rPr>
              <w:t xml:space="preserve"> 4</w:t>
            </w:r>
            <w:r w:rsidRPr="0084288C">
              <w:rPr>
                <w:szCs w:val="22"/>
              </w:rPr>
              <w:t>.</w:t>
            </w:r>
          </w:p>
        </w:tc>
      </w:tr>
    </w:tbl>
    <w:p w14:paraId="1AA1A330" w14:textId="77777777" w:rsidR="00DA52CB" w:rsidRDefault="00DA52CB" w:rsidP="00DA52CB">
      <w:pPr>
        <w:jc w:val="center"/>
        <w:rPr>
          <w:b/>
          <w:szCs w:val="22"/>
        </w:rPr>
      </w:pPr>
      <w:bookmarkStart w:id="19" w:name="summary_box"/>
      <w:bookmarkEnd w:id="19"/>
    </w:p>
    <w:p w14:paraId="45FE24C1" w14:textId="77777777" w:rsidR="00765BBF" w:rsidRDefault="00765BBF" w:rsidP="00725F8B">
      <w:pPr>
        <w:pStyle w:val="1Heading"/>
        <w:spacing w:before="240"/>
      </w:pPr>
      <w:bookmarkStart w:id="20" w:name="beginning"/>
      <w:bookmarkEnd w:id="20"/>
      <w:r>
        <w:t>INTRODUCTION</w:t>
      </w:r>
    </w:p>
    <w:p w14:paraId="7C570EFE" w14:textId="4969618B" w:rsidR="00155585" w:rsidRDefault="00155585" w:rsidP="00D221BB">
      <w:pPr>
        <w:pStyle w:val="2Para"/>
      </w:pPr>
      <w:r>
        <w:t>The Roadmap for the World Area Forecast System (WAFS), version 3.1, which was endorsed by METP at their second meeting (October 2016) (METP/2 Decision 4/6) calls for the World Area Forecast Centres (WAFC) to implement turbulence forecasts utilizing eddy dissipation rate (EDR) during the Aviation System Block Upgrades (ASBU) Block 1 time frame (2019-2024)</w:t>
      </w:r>
      <w:r>
        <w:rPr>
          <w:rStyle w:val="FootnoteReference"/>
        </w:rPr>
        <w:footnoteReference w:id="1"/>
      </w:r>
      <w:r>
        <w:t>.</w:t>
      </w:r>
    </w:p>
    <w:p w14:paraId="17260E66" w14:textId="172BA2E4" w:rsidR="000A0C64" w:rsidRDefault="00D67935" w:rsidP="00D221BB">
      <w:pPr>
        <w:pStyle w:val="2Para"/>
      </w:pPr>
      <w:r>
        <w:t>E</w:t>
      </w:r>
      <w:r w:rsidR="00920486">
        <w:t>DR</w:t>
      </w:r>
      <w:r w:rsidR="000D3C12">
        <w:t xml:space="preserve"> </w:t>
      </w:r>
      <w:r w:rsidR="000F5DB1">
        <w:t xml:space="preserve">is the </w:t>
      </w:r>
      <w:r w:rsidR="002F4E99">
        <w:t xml:space="preserve">index-based </w:t>
      </w:r>
      <w:r w:rsidR="000F5DB1">
        <w:t xml:space="preserve">metric for reporting aircraft turbulence </w:t>
      </w:r>
      <w:r w:rsidR="000B65AB">
        <w:t>and has</w:t>
      </w:r>
      <w:r w:rsidR="00414600">
        <w:t xml:space="preserve"> been included in Annex 3 - </w:t>
      </w:r>
      <w:r w:rsidR="00414600" w:rsidRPr="006E6B9C">
        <w:rPr>
          <w:i/>
        </w:rPr>
        <w:t>Meteorological Service for International Air Navigation</w:t>
      </w:r>
      <w:r w:rsidR="00414600">
        <w:t xml:space="preserve"> since Amendment 72 (2001).  These EDR values were </w:t>
      </w:r>
      <w:r w:rsidR="002B0740">
        <w:t>revised</w:t>
      </w:r>
      <w:r w:rsidR="00414600">
        <w:t xml:space="preserve"> </w:t>
      </w:r>
      <w:r w:rsidR="00BB0498">
        <w:t>for Amendment 74 (2007) as an improved</w:t>
      </w:r>
      <w:r w:rsidR="002B0740">
        <w:rPr>
          <w:lang w:val="en-US"/>
        </w:rPr>
        <w:t xml:space="preserve"> EDR algorithm had been developed and the results indicated that the EDR thresholds for reporting turbulence should be revised</w:t>
      </w:r>
      <w:r w:rsidR="002B0740">
        <w:t xml:space="preserve">.  </w:t>
      </w:r>
      <w:r w:rsidR="00414600">
        <w:t xml:space="preserve"> </w:t>
      </w:r>
      <w:r w:rsidR="002B0740">
        <w:t xml:space="preserve">Since </w:t>
      </w:r>
      <w:r w:rsidR="002F4E99">
        <w:t xml:space="preserve">then scientific studies of over 100 million </w:t>
      </w:r>
      <w:r w:rsidR="002B0740">
        <w:t>aircraft turbulence reports have shown that</w:t>
      </w:r>
      <w:r w:rsidR="002F4E99">
        <w:t xml:space="preserve"> EDR values in Annex 3 require a</w:t>
      </w:r>
      <w:r w:rsidR="00043CA7">
        <w:t>nother</w:t>
      </w:r>
      <w:r w:rsidR="002F4E99">
        <w:t xml:space="preserve"> revision.</w:t>
      </w:r>
      <w:r w:rsidR="002B0740">
        <w:t xml:space="preserve"> </w:t>
      </w:r>
    </w:p>
    <w:p w14:paraId="5E31A1FA" w14:textId="29755B0E" w:rsidR="000D3C12" w:rsidRDefault="00174A7F" w:rsidP="000D3C12">
      <w:pPr>
        <w:pStyle w:val="2Para"/>
      </w:pPr>
      <w:bookmarkStart w:id="21" w:name="_Ref411491625"/>
      <w:r>
        <w:t xml:space="preserve">This paper presents </w:t>
      </w:r>
      <w:r w:rsidR="00BB0498">
        <w:t xml:space="preserve">draft changes to the EDR values in Annex 3 for </w:t>
      </w:r>
      <w:r>
        <w:t>consider</w:t>
      </w:r>
      <w:r w:rsidR="00BB0498">
        <w:t>ation</w:t>
      </w:r>
      <w:r w:rsidR="0040177C">
        <w:t xml:space="preserve"> with other proposals</w:t>
      </w:r>
      <w:r>
        <w:t xml:space="preserve"> for </w:t>
      </w:r>
      <w:r w:rsidR="0063179B">
        <w:t xml:space="preserve">Amendment 79 of </w:t>
      </w:r>
      <w:r w:rsidR="000D3C12">
        <w:t>Annex 3 (applicable November 2020)</w:t>
      </w:r>
      <w:bookmarkEnd w:id="21"/>
      <w:r w:rsidR="00043CA7">
        <w:t>.</w:t>
      </w:r>
    </w:p>
    <w:p w14:paraId="782B2E1C" w14:textId="7DB8789D" w:rsidR="004C45AF" w:rsidRDefault="004C45AF" w:rsidP="004C45AF">
      <w:pPr>
        <w:pStyle w:val="1Heading"/>
      </w:pPr>
      <w:r>
        <w:lastRenderedPageBreak/>
        <w:t>DISCUSSION</w:t>
      </w:r>
    </w:p>
    <w:p w14:paraId="333F56D0" w14:textId="154758BD" w:rsidR="00852ED7" w:rsidRPr="00852ED7" w:rsidRDefault="00852ED7" w:rsidP="004C45AF">
      <w:pPr>
        <w:pStyle w:val="2Para"/>
      </w:pPr>
      <w:r w:rsidRPr="004C45AF">
        <w:rPr>
          <w:b/>
        </w:rPr>
        <w:t>Background</w:t>
      </w:r>
      <w:r>
        <w:t>:</w:t>
      </w:r>
    </w:p>
    <w:p w14:paraId="7F0BA66B" w14:textId="5AADB6F1" w:rsidR="00E6702E" w:rsidRDefault="00E70B04" w:rsidP="005F0507">
      <w:pPr>
        <w:pStyle w:val="3Para"/>
      </w:pPr>
      <w:r>
        <w:t xml:space="preserve">The </w:t>
      </w:r>
      <w:r w:rsidR="00852ED7">
        <w:t xml:space="preserve">current </w:t>
      </w:r>
      <w:r>
        <w:t>thresholds for EDR</w:t>
      </w:r>
      <w:r w:rsidR="00852ED7">
        <w:t xml:space="preserve"> in Annex 3</w:t>
      </w:r>
      <w:r w:rsidR="005F0507">
        <w:t xml:space="preserve"> (which have existed since Amendment 74 in 2007)</w:t>
      </w:r>
      <w:r w:rsidR="00852ED7">
        <w:t xml:space="preserve"> </w:t>
      </w:r>
      <w:r w:rsidR="0084366B">
        <w:t xml:space="preserve">are </w:t>
      </w:r>
      <w:r w:rsidR="005F0507">
        <w:t>as follows</w:t>
      </w:r>
      <w:r w:rsidR="00852ED7">
        <w:t>:</w:t>
      </w:r>
    </w:p>
    <w:p w14:paraId="2F97E39E" w14:textId="5B1C2C63" w:rsidR="0046382C" w:rsidRDefault="00ED7024" w:rsidP="005F0507">
      <w:pPr>
        <w:pStyle w:val="3Para"/>
        <w:numPr>
          <w:ilvl w:val="0"/>
          <w:numId w:val="0"/>
        </w:numPr>
        <w:ind w:left="720"/>
      </w:pPr>
      <w:r>
        <w:t>(</w:t>
      </w:r>
      <w:r w:rsidR="005F0507">
        <w:rPr>
          <w:i/>
        </w:rPr>
        <w:t>Excerpt of</w:t>
      </w:r>
      <w:r w:rsidRPr="00B241C1">
        <w:rPr>
          <w:i/>
        </w:rPr>
        <w:t xml:space="preserve"> </w:t>
      </w:r>
      <w:r w:rsidR="005F0507">
        <w:rPr>
          <w:i/>
        </w:rPr>
        <w:t xml:space="preserve">current Annex 3 (Amendment 77, 2016), </w:t>
      </w:r>
      <w:r w:rsidRPr="00B241C1">
        <w:rPr>
          <w:i/>
        </w:rPr>
        <w:t>Appendix 4</w:t>
      </w:r>
      <w:r w:rsidR="0046382C" w:rsidRPr="00B241C1">
        <w:rPr>
          <w:i/>
        </w:rPr>
        <w:t xml:space="preserve">, paragraph </w:t>
      </w:r>
      <w:r w:rsidR="005F0507">
        <w:rPr>
          <w:i/>
        </w:rPr>
        <w:t>2.6.2</w:t>
      </w:r>
      <w:r w:rsidR="0046382C">
        <w:t>):</w:t>
      </w:r>
    </w:p>
    <w:p w14:paraId="12F43E76" w14:textId="2559A533" w:rsidR="00E6702E" w:rsidRPr="005711A8" w:rsidRDefault="00464CA5" w:rsidP="00316334">
      <w:pPr>
        <w:pStyle w:val="Indent-a"/>
        <w:tabs>
          <w:tab w:val="clear" w:pos="1080"/>
        </w:tabs>
        <w:ind w:left="1440" w:right="720" w:firstLine="0"/>
      </w:pPr>
      <w:r>
        <w:t xml:space="preserve">a)  </w:t>
      </w:r>
      <w:r w:rsidR="00E6702E" w:rsidRPr="005711A8">
        <w:t>severe when the peak value of the cube root of EDR exceeds 0.7;</w:t>
      </w:r>
    </w:p>
    <w:p w14:paraId="3F0D0052" w14:textId="77777777" w:rsidR="00E6702E" w:rsidRPr="005711A8" w:rsidRDefault="00E6702E" w:rsidP="00316334">
      <w:pPr>
        <w:pStyle w:val="Indent-a"/>
        <w:tabs>
          <w:tab w:val="clear" w:pos="1080"/>
        </w:tabs>
        <w:ind w:left="1440" w:right="720" w:firstLine="0"/>
      </w:pPr>
    </w:p>
    <w:p w14:paraId="70D22041" w14:textId="176ED21A" w:rsidR="00E6702E" w:rsidRPr="005711A8" w:rsidRDefault="00E6702E" w:rsidP="00316334">
      <w:pPr>
        <w:pStyle w:val="Indent-a"/>
        <w:tabs>
          <w:tab w:val="clear" w:pos="1080"/>
        </w:tabs>
        <w:ind w:left="1440" w:right="720" w:firstLine="0"/>
      </w:pPr>
      <w:r w:rsidRPr="005711A8">
        <w:t>b)</w:t>
      </w:r>
      <w:r w:rsidR="00464CA5">
        <w:t xml:space="preserve">  </w:t>
      </w:r>
      <w:r w:rsidRPr="005711A8">
        <w:t>moderate when the peak value of the cube root of EDR is above 0.4 and below or equal to 0.7;</w:t>
      </w:r>
    </w:p>
    <w:p w14:paraId="482C4EFB" w14:textId="77777777" w:rsidR="00E6702E" w:rsidRPr="005711A8" w:rsidRDefault="00E6702E" w:rsidP="00316334">
      <w:pPr>
        <w:pStyle w:val="Indent-a"/>
        <w:tabs>
          <w:tab w:val="clear" w:pos="1080"/>
        </w:tabs>
        <w:ind w:left="1440" w:right="720" w:firstLine="0"/>
      </w:pPr>
    </w:p>
    <w:p w14:paraId="66DEC647" w14:textId="084671CE" w:rsidR="00E6702E" w:rsidRPr="005711A8" w:rsidRDefault="00E6702E" w:rsidP="00316334">
      <w:pPr>
        <w:pStyle w:val="Indent-a"/>
        <w:tabs>
          <w:tab w:val="clear" w:pos="1080"/>
        </w:tabs>
        <w:ind w:left="1440" w:right="720" w:firstLine="0"/>
      </w:pPr>
      <w:r w:rsidRPr="005711A8">
        <w:t>c)</w:t>
      </w:r>
      <w:r w:rsidR="00464CA5">
        <w:t xml:space="preserve">  </w:t>
      </w:r>
      <w:r w:rsidRPr="005711A8">
        <w:t>light when the peak value of the cube root of EDR is above 0.1 and below or equal to 0.4; and</w:t>
      </w:r>
    </w:p>
    <w:p w14:paraId="0B697C7F" w14:textId="77777777" w:rsidR="00E6702E" w:rsidRPr="005711A8" w:rsidRDefault="00E6702E" w:rsidP="00316334">
      <w:pPr>
        <w:pStyle w:val="Indent-a"/>
        <w:tabs>
          <w:tab w:val="clear" w:pos="1080"/>
        </w:tabs>
        <w:ind w:left="1440" w:right="720" w:firstLine="0"/>
      </w:pPr>
    </w:p>
    <w:p w14:paraId="68D9BA6C" w14:textId="69FD41C5" w:rsidR="00E6702E" w:rsidRPr="005711A8" w:rsidRDefault="00E6702E" w:rsidP="00316334">
      <w:pPr>
        <w:pStyle w:val="Indent-a"/>
        <w:tabs>
          <w:tab w:val="clear" w:pos="1080"/>
        </w:tabs>
        <w:ind w:left="1440" w:right="720" w:firstLine="0"/>
      </w:pPr>
      <w:r w:rsidRPr="005711A8">
        <w:t>d)</w:t>
      </w:r>
      <w:r w:rsidR="00464CA5">
        <w:t xml:space="preserve">  </w:t>
      </w:r>
      <w:r w:rsidRPr="005711A8">
        <w:t>nil when the peak value of the cube root of EDR is below or equal to 0.1.</w:t>
      </w:r>
    </w:p>
    <w:p w14:paraId="03D1BA79" w14:textId="77777777" w:rsidR="00E6702E" w:rsidRPr="005711A8" w:rsidRDefault="00E6702E" w:rsidP="00316334">
      <w:pPr>
        <w:ind w:left="1440" w:right="720"/>
        <w:rPr>
          <w:sz w:val="20"/>
          <w:szCs w:val="20"/>
        </w:rPr>
      </w:pPr>
    </w:p>
    <w:p w14:paraId="1FEB6364" w14:textId="465C70AA" w:rsidR="00E6702E" w:rsidRPr="005711A8" w:rsidRDefault="00E6702E" w:rsidP="00316334">
      <w:pPr>
        <w:ind w:left="1440" w:right="720"/>
        <w:rPr>
          <w:sz w:val="20"/>
          <w:szCs w:val="20"/>
        </w:rPr>
      </w:pPr>
      <w:proofErr w:type="gramStart"/>
      <w:r w:rsidRPr="005711A8">
        <w:rPr>
          <w:i/>
          <w:iCs/>
          <w:sz w:val="20"/>
          <w:szCs w:val="20"/>
        </w:rPr>
        <w:t>Note.—</w:t>
      </w:r>
      <w:proofErr w:type="gramEnd"/>
      <w:r w:rsidRPr="005711A8">
        <w:rPr>
          <w:i/>
          <w:iCs/>
          <w:sz w:val="20"/>
          <w:szCs w:val="20"/>
        </w:rPr>
        <w:t xml:space="preserve"> The EDR is an aircraft</w:t>
      </w:r>
      <w:r w:rsidRPr="005711A8">
        <w:rPr>
          <w:i/>
          <w:iCs/>
          <w:sz w:val="20"/>
          <w:szCs w:val="20"/>
        </w:rPr>
        <w:noBreakHyphen/>
        <w:t>independent measure of turbulence. However, the relationship between the EDR value and the perception of turbulence is a function of aircraft type, and the mass, altitude, configuration and airspeed of the aircraft. The EDR values given above describe the severity levels for a medium-sized transport aircraft under typical en</w:t>
      </w:r>
      <w:r w:rsidRPr="005711A8">
        <w:rPr>
          <w:i/>
          <w:iCs/>
          <w:sz w:val="20"/>
          <w:szCs w:val="20"/>
        </w:rPr>
        <w:noBreakHyphen/>
        <w:t>route conditions (i.e. altitude, airspeed and weight).</w:t>
      </w:r>
    </w:p>
    <w:p w14:paraId="43962484" w14:textId="648506CB" w:rsidR="00D04DF9" w:rsidRPr="001B2CFB" w:rsidRDefault="00341EBB" w:rsidP="00FB6BFA">
      <w:pPr>
        <w:pStyle w:val="3Para"/>
        <w:rPr>
          <w:lang w:val="en-US"/>
        </w:rPr>
      </w:pPr>
      <w:r w:rsidRPr="001B2CFB">
        <w:rPr>
          <w:lang w:val="en-US"/>
        </w:rPr>
        <w:t>Since 2005</w:t>
      </w:r>
      <w:r w:rsidR="00EF3F16" w:rsidRPr="001B2CFB">
        <w:rPr>
          <w:lang w:val="en-US"/>
        </w:rPr>
        <w:t xml:space="preserve">, </w:t>
      </w:r>
      <w:r w:rsidR="001564BA">
        <w:t xml:space="preserve">the United States (US) National Science Foundation’s National </w:t>
      </w:r>
      <w:r w:rsidR="007A14D9">
        <w:t>Center</w:t>
      </w:r>
      <w:r w:rsidR="001564BA">
        <w:t xml:space="preserve"> for Atmospheric Research (NCAR) </w:t>
      </w:r>
      <w:r w:rsidR="00EF3F16" w:rsidRPr="001B2CFB">
        <w:rPr>
          <w:lang w:val="en-US"/>
        </w:rPr>
        <w:t xml:space="preserve">has continued to improve the algorithms as well as </w:t>
      </w:r>
      <w:r w:rsidR="0042383C" w:rsidRPr="001B2CFB">
        <w:rPr>
          <w:lang w:val="en-US"/>
        </w:rPr>
        <w:t xml:space="preserve">derive </w:t>
      </w:r>
      <w:r w:rsidR="00FC334E" w:rsidRPr="001B2CFB">
        <w:rPr>
          <w:lang w:val="en-US"/>
        </w:rPr>
        <w:t>climatologies</w:t>
      </w:r>
      <w:r w:rsidR="0042383C" w:rsidRPr="001B2CFB">
        <w:rPr>
          <w:lang w:val="en-US"/>
        </w:rPr>
        <w:t xml:space="preserve"> of EDR reports.  </w:t>
      </w:r>
      <w:r w:rsidR="00FC334E" w:rsidRPr="001B2CFB">
        <w:rPr>
          <w:lang w:val="en-US"/>
        </w:rPr>
        <w:t xml:space="preserve">The </w:t>
      </w:r>
      <w:r w:rsidR="00A00794" w:rsidRPr="001B2CFB">
        <w:rPr>
          <w:lang w:val="en-US"/>
        </w:rPr>
        <w:t xml:space="preserve">background and </w:t>
      </w:r>
      <w:r w:rsidR="00FC334E" w:rsidRPr="001B2CFB">
        <w:rPr>
          <w:lang w:val="en-US"/>
        </w:rPr>
        <w:t>results were published in the American Mete</w:t>
      </w:r>
      <w:r w:rsidR="00D04DF9" w:rsidRPr="001B2CFB">
        <w:rPr>
          <w:lang w:val="en-US"/>
        </w:rPr>
        <w:t xml:space="preserve">orological Society’s </w:t>
      </w:r>
      <w:r w:rsidR="00FC334E" w:rsidRPr="001B2CFB">
        <w:rPr>
          <w:lang w:val="en-US"/>
        </w:rPr>
        <w:t xml:space="preserve">Journal of Applied Meteorology and Climatology </w:t>
      </w:r>
      <w:r w:rsidR="00D04DF9" w:rsidRPr="001B2CFB">
        <w:rPr>
          <w:lang w:val="en-US"/>
        </w:rPr>
        <w:t>(J</w:t>
      </w:r>
      <w:r w:rsidR="00AE4BB5" w:rsidRPr="001B2CFB">
        <w:rPr>
          <w:lang w:val="en-US"/>
        </w:rPr>
        <w:t>A</w:t>
      </w:r>
      <w:r w:rsidR="00D04DF9" w:rsidRPr="001B2CFB">
        <w:rPr>
          <w:lang w:val="en-US"/>
        </w:rPr>
        <w:t xml:space="preserve">MC) </w:t>
      </w:r>
      <w:r w:rsidR="00FC334E" w:rsidRPr="001B2CFB">
        <w:rPr>
          <w:lang w:val="en-US"/>
        </w:rPr>
        <w:t>in 2014</w:t>
      </w:r>
      <w:r w:rsidR="00FC334E">
        <w:rPr>
          <w:rStyle w:val="FootnoteReference"/>
          <w:lang w:val="en-US"/>
        </w:rPr>
        <w:footnoteReference w:id="2"/>
      </w:r>
      <w:r w:rsidR="00860C35" w:rsidRPr="001B2CFB">
        <w:rPr>
          <w:lang w:val="en-US"/>
        </w:rPr>
        <w:t xml:space="preserve"> (Robert Sharman, et al</w:t>
      </w:r>
      <w:r w:rsidR="0008356B" w:rsidRPr="001B2CFB">
        <w:rPr>
          <w:lang w:val="en-US"/>
        </w:rPr>
        <w:t>.</w:t>
      </w:r>
      <w:r w:rsidR="00860C35" w:rsidRPr="001B2CFB">
        <w:rPr>
          <w:lang w:val="en-US"/>
        </w:rPr>
        <w:t>)</w:t>
      </w:r>
      <w:r w:rsidR="00FC334E" w:rsidRPr="001B2CFB">
        <w:rPr>
          <w:lang w:val="en-US"/>
        </w:rPr>
        <w:t xml:space="preserve">. </w:t>
      </w:r>
      <w:r w:rsidRPr="001B2CFB">
        <w:rPr>
          <w:lang w:val="en-US"/>
        </w:rPr>
        <w:t xml:space="preserve">During a 10-year period (2004-2013) 128.3 million </w:t>
      </w:r>
      <w:r w:rsidR="001564BA" w:rsidRPr="001B2CFB">
        <w:rPr>
          <w:lang w:val="en-US"/>
        </w:rPr>
        <w:t>United Airline (</w:t>
      </w:r>
      <w:r w:rsidRPr="001B2CFB">
        <w:rPr>
          <w:lang w:val="en-US"/>
        </w:rPr>
        <w:t>UAL</w:t>
      </w:r>
      <w:r w:rsidR="001564BA" w:rsidRPr="001B2CFB">
        <w:rPr>
          <w:lang w:val="en-US"/>
        </w:rPr>
        <w:t>)</w:t>
      </w:r>
      <w:r w:rsidRPr="001B2CFB">
        <w:rPr>
          <w:lang w:val="en-US"/>
        </w:rPr>
        <w:t xml:space="preserve"> </w:t>
      </w:r>
      <w:r w:rsidR="0074406E" w:rsidRPr="001B2CFB">
        <w:rPr>
          <w:lang w:val="en-US"/>
        </w:rPr>
        <w:t>B</w:t>
      </w:r>
      <w:r w:rsidR="00E343F6" w:rsidRPr="001B2CFB">
        <w:rPr>
          <w:lang w:val="en-US"/>
        </w:rPr>
        <w:t xml:space="preserve">-737 and </w:t>
      </w:r>
      <w:r w:rsidRPr="001B2CFB">
        <w:rPr>
          <w:lang w:val="en-US"/>
        </w:rPr>
        <w:t>B</w:t>
      </w:r>
      <w:r w:rsidR="00E343F6" w:rsidRPr="001B2CFB">
        <w:rPr>
          <w:lang w:val="en-US"/>
        </w:rPr>
        <w:t>-</w:t>
      </w:r>
      <w:r w:rsidRPr="001B2CFB">
        <w:rPr>
          <w:lang w:val="en-US"/>
        </w:rPr>
        <w:t xml:space="preserve">757 </w:t>
      </w:r>
      <w:r w:rsidR="00E343F6" w:rsidRPr="001B2CFB">
        <w:rPr>
          <w:lang w:val="en-US"/>
        </w:rPr>
        <w:t xml:space="preserve">(medium-sized aircraft) </w:t>
      </w:r>
      <w:r w:rsidRPr="001B2CFB">
        <w:rPr>
          <w:lang w:val="en-US"/>
        </w:rPr>
        <w:t xml:space="preserve">EDR reports were recorded.  Additional </w:t>
      </w:r>
      <w:r w:rsidR="00E343F6" w:rsidRPr="001B2CFB">
        <w:rPr>
          <w:lang w:val="en-US"/>
        </w:rPr>
        <w:t xml:space="preserve">B-737 </w:t>
      </w:r>
      <w:r w:rsidRPr="001B2CFB">
        <w:rPr>
          <w:lang w:val="en-US"/>
        </w:rPr>
        <w:t xml:space="preserve">aircraft reports recorded were also in the millions.   </w:t>
      </w:r>
      <w:r w:rsidR="00860C35" w:rsidRPr="001B2CFB">
        <w:rPr>
          <w:lang w:val="en-US"/>
        </w:rPr>
        <w:t>The work by Sharman, et al</w:t>
      </w:r>
      <w:r w:rsidR="0008356B" w:rsidRPr="001B2CFB">
        <w:rPr>
          <w:lang w:val="en-US"/>
        </w:rPr>
        <w:t>.</w:t>
      </w:r>
      <w:r w:rsidR="00860C35" w:rsidRPr="001B2CFB">
        <w:rPr>
          <w:lang w:val="en-US"/>
        </w:rPr>
        <w:t xml:space="preserve">, compared EDR reports with thousands of pilot reported turbulence.  </w:t>
      </w:r>
      <w:r w:rsidR="0008356B" w:rsidRPr="001B2CFB">
        <w:rPr>
          <w:lang w:val="en-US"/>
        </w:rPr>
        <w:t xml:space="preserve">Sharman, et al., concluded that </w:t>
      </w:r>
      <w:r w:rsidR="00D04DF9" w:rsidRPr="001B2CFB">
        <w:rPr>
          <w:lang w:val="en-US"/>
        </w:rPr>
        <w:t xml:space="preserve">the EDR </w:t>
      </w:r>
      <w:r w:rsidR="00B50F90" w:rsidRPr="001B2CFB">
        <w:rPr>
          <w:lang w:val="en-US"/>
        </w:rPr>
        <w:t xml:space="preserve">threshold </w:t>
      </w:r>
      <w:r w:rsidR="00D04DF9" w:rsidRPr="001B2CFB">
        <w:rPr>
          <w:lang w:val="en-US"/>
        </w:rPr>
        <w:t xml:space="preserve">values in Annex 3 </w:t>
      </w:r>
      <w:r w:rsidR="00B50F90" w:rsidRPr="001B2CFB">
        <w:rPr>
          <w:lang w:val="en-US"/>
        </w:rPr>
        <w:t xml:space="preserve">(Amendment 74 through the present Amendment 77) </w:t>
      </w:r>
      <w:r w:rsidR="00D04DF9" w:rsidRPr="001B2CFB">
        <w:rPr>
          <w:lang w:val="en-US"/>
        </w:rPr>
        <w:t>were too high</w:t>
      </w:r>
      <w:r w:rsidR="00CE767D" w:rsidRPr="001B2CFB">
        <w:rPr>
          <w:lang w:val="en-US"/>
        </w:rPr>
        <w:t>.</w:t>
      </w:r>
      <w:r w:rsidR="00D04DF9" w:rsidRPr="001B2CFB">
        <w:rPr>
          <w:lang w:val="en-US"/>
        </w:rPr>
        <w:t xml:space="preserve">   </w:t>
      </w:r>
    </w:p>
    <w:p w14:paraId="0810BEFD" w14:textId="73D1269D" w:rsidR="000B2DED" w:rsidRDefault="0062119A" w:rsidP="006F0F46">
      <w:pPr>
        <w:pStyle w:val="2Para"/>
        <w:rPr>
          <w:b/>
        </w:rPr>
      </w:pPr>
      <w:r>
        <w:rPr>
          <w:b/>
        </w:rPr>
        <w:t>WG-MOG World Area Forecast System (WAFS)</w:t>
      </w:r>
      <w:r w:rsidR="000B2DED">
        <w:rPr>
          <w:b/>
        </w:rPr>
        <w:t>:</w:t>
      </w:r>
    </w:p>
    <w:p w14:paraId="46513F34" w14:textId="4B417A41" w:rsidR="00CB3AAB" w:rsidRDefault="006A0C46" w:rsidP="0062119A">
      <w:pPr>
        <w:pStyle w:val="3Para"/>
      </w:pPr>
      <w:r>
        <w:t>The</w:t>
      </w:r>
      <w:r w:rsidR="0062119A">
        <w:t xml:space="preserve"> F</w:t>
      </w:r>
      <w:r>
        <w:t>ourth Meeting of the WG-MOG</w:t>
      </w:r>
      <w:r w:rsidR="0062119A">
        <w:t xml:space="preserve"> </w:t>
      </w:r>
      <w:r w:rsidR="009B4AC9">
        <w:t xml:space="preserve">in April 2017 </w:t>
      </w:r>
      <w:r>
        <w:t xml:space="preserve">was informed about the need for the revision EDR thresholds in Annex 3 (METP-MOG/4/SN/29 refers). </w:t>
      </w:r>
      <w:r w:rsidR="009B4AC9">
        <w:t xml:space="preserve">The meeting agreed that the threshold values should be revised and formed an ad hoc group to further review </w:t>
      </w:r>
      <w:r w:rsidR="00CB3AAB">
        <w:t>the information and</w:t>
      </w:r>
      <w:r w:rsidR="00CF2337">
        <w:t xml:space="preserve"> produce a paper for METP/4</w:t>
      </w:r>
      <w:r w:rsidR="009B4AC9">
        <w:t xml:space="preserve"> (Agreed Action 4/WAFS8 refers).  </w:t>
      </w:r>
      <w:r>
        <w:t xml:space="preserve">  </w:t>
      </w:r>
    </w:p>
    <w:p w14:paraId="1A738E62" w14:textId="5F56B59F" w:rsidR="00B03499" w:rsidRDefault="00326AD1" w:rsidP="00E2755A">
      <w:pPr>
        <w:pStyle w:val="3Para"/>
      </w:pPr>
      <w:r>
        <w:t xml:space="preserve">The Seventh </w:t>
      </w:r>
      <w:r w:rsidR="00CB3AAB">
        <w:t>Meeting of the WG-MOG in April 2018 reviewed the report and</w:t>
      </w:r>
      <w:r w:rsidR="00E2755A">
        <w:t xml:space="preserve"> </w:t>
      </w:r>
      <w:r w:rsidR="00CB3AAB">
        <w:t>EDR thresholds f</w:t>
      </w:r>
      <w:r>
        <w:t>rom the ad hoc group (METP-MOG/7</w:t>
      </w:r>
      <w:r w:rsidR="00CB3AAB">
        <w:t>/SN/xx refers)</w:t>
      </w:r>
      <w:r w:rsidR="00DC4B21">
        <w:t>.</w:t>
      </w:r>
      <w:r w:rsidR="00E2755A">
        <w:t xml:space="preserve">  </w:t>
      </w:r>
    </w:p>
    <w:p w14:paraId="43443457" w14:textId="199CCD98" w:rsidR="006F0F46" w:rsidRDefault="00852ED7" w:rsidP="006F0F46">
      <w:pPr>
        <w:pStyle w:val="2Para"/>
        <w:rPr>
          <w:b/>
        </w:rPr>
      </w:pPr>
      <w:r>
        <w:rPr>
          <w:b/>
        </w:rPr>
        <w:t>Proposed Amendment to Annex 3</w:t>
      </w:r>
      <w:r w:rsidR="004A70FA" w:rsidRPr="002C6EDD">
        <w:rPr>
          <w:b/>
        </w:rPr>
        <w:t>:</w:t>
      </w:r>
    </w:p>
    <w:p w14:paraId="34A6E4DF" w14:textId="1EABB3A0" w:rsidR="000965D7" w:rsidRDefault="00212BE7" w:rsidP="005F0507">
      <w:pPr>
        <w:pStyle w:val="3Para"/>
      </w:pPr>
      <w:r>
        <w:lastRenderedPageBreak/>
        <w:t xml:space="preserve">The </w:t>
      </w:r>
      <w:r w:rsidR="0000351C">
        <w:t xml:space="preserve">appendix </w:t>
      </w:r>
      <w:r w:rsidR="000965D7">
        <w:t>to this paper contains the proposed changes relating to EDR for Amendment 79 to Annex 3</w:t>
      </w:r>
      <w:r w:rsidR="005F0507">
        <w:t xml:space="preserve"> (2020 intended applicability)</w:t>
      </w:r>
      <w:r w:rsidR="000965D7">
        <w:t xml:space="preserve">.  </w:t>
      </w:r>
    </w:p>
    <w:p w14:paraId="49505145" w14:textId="3FED5C37" w:rsidR="00FA09F3" w:rsidRDefault="0064389E" w:rsidP="00725F8B">
      <w:pPr>
        <w:pStyle w:val="3Para"/>
      </w:pPr>
      <w:r>
        <w:t>In addition to the revised EDR values, the proposed changes remove the text “</w:t>
      </w:r>
      <w:r w:rsidR="00A56CCB">
        <w:t xml:space="preserve">of the cube root” relating to the EDR values.  </w:t>
      </w:r>
      <w:r w:rsidR="00E57F9E">
        <w:t>Technically the termin</w:t>
      </w:r>
      <w:r w:rsidR="00230FEB">
        <w:t xml:space="preserve">ology “EDR” refers to the cube </w:t>
      </w:r>
      <w:r w:rsidR="00E57F9E">
        <w:t xml:space="preserve">root of the </w:t>
      </w:r>
      <w:r w:rsidR="00046140">
        <w:t xml:space="preserve">energy or </w:t>
      </w:r>
      <w:r w:rsidR="00E57F9E">
        <w:t>eddy dissip</w:t>
      </w:r>
      <w:r w:rsidR="00A56CCB">
        <w:t>ation rate</w:t>
      </w:r>
      <w:r w:rsidR="00046140">
        <w:t xml:space="preserve"> </w:t>
      </w:r>
      <w:r w:rsidR="00A34325">
        <w:t xml:space="preserve">estimated from aircraft data parameters (e.g., </w:t>
      </w:r>
      <w:r w:rsidR="00046140" w:rsidRPr="00C53195">
        <w:rPr>
          <w:lang w:val="en-US"/>
        </w:rPr>
        <w:t>vertical wind velocity or aircraft vertical acceleration</w:t>
      </w:r>
      <w:r w:rsidR="00230FEB">
        <w:rPr>
          <w:lang w:val="en-US"/>
        </w:rPr>
        <w:t>)</w:t>
      </w:r>
      <w:r w:rsidR="009B1801">
        <w:t xml:space="preserve">, i.e., </w:t>
      </w:r>
    </w:p>
    <w:p w14:paraId="5ADC00E0" w14:textId="01C1AD0F" w:rsidR="0038087C" w:rsidRPr="007E1863" w:rsidRDefault="0038087C" w:rsidP="0038087C">
      <w:pPr>
        <w:pStyle w:val="3Para"/>
        <w:numPr>
          <w:ilvl w:val="0"/>
          <w:numId w:val="0"/>
        </w:numPr>
        <w:jc w:val="center"/>
      </w:pPr>
      <w:r>
        <w:t xml:space="preserve">EDR </w:t>
      </w:r>
      <m:oMath>
        <m:r>
          <w:rPr>
            <w:rFonts w:ascii="Cambria Math" w:hAnsi="Cambria Math"/>
          </w:rPr>
          <m:t>≡</m:t>
        </m:r>
      </m:oMath>
      <w:r>
        <w:t xml:space="preserve"> </w:t>
      </w:r>
      <m:oMath>
        <m:r>
          <w:rPr>
            <w:rFonts w:ascii="Cambria Math" w:hAnsi="Cambria Math"/>
          </w:rPr>
          <m:t>∛ε</m:t>
        </m:r>
      </m:oMath>
      <w:r>
        <w:t xml:space="preserve">, where </w:t>
      </w:r>
      <m:oMath>
        <m:r>
          <w:rPr>
            <w:rFonts w:ascii="Cambria Math" w:hAnsi="Cambria Math"/>
          </w:rPr>
          <m:t>ε</m:t>
        </m:r>
      </m:oMath>
      <w:r>
        <w:t xml:space="preserve"> is the eddy dissipation rate in units </w:t>
      </w:r>
      <m:oMath>
        <m:r>
          <w:rPr>
            <w:rFonts w:ascii="Cambria Math" w:hAnsi="Cambria Math"/>
          </w:rPr>
          <m:t>∛</m:t>
        </m:r>
      </m:oMath>
      <w:r>
        <w:t>m</w:t>
      </w:r>
      <w:r>
        <w:rPr>
          <w:vertAlign w:val="superscript"/>
        </w:rPr>
        <w:t>2</w:t>
      </w:r>
      <w:r>
        <w:t xml:space="preserve"> s</w:t>
      </w:r>
      <w:r>
        <w:rPr>
          <w:vertAlign w:val="superscript"/>
        </w:rPr>
        <w:t>-</w:t>
      </w:r>
      <w:r w:rsidR="00BD5B13">
        <w:rPr>
          <w:vertAlign w:val="superscript"/>
        </w:rPr>
        <w:t>3</w:t>
      </w:r>
    </w:p>
    <w:p w14:paraId="0182056D" w14:textId="451A87D6" w:rsidR="0038087C" w:rsidRDefault="0038087C" w:rsidP="0038087C">
      <w:pPr>
        <w:pStyle w:val="3Para"/>
        <w:numPr>
          <w:ilvl w:val="0"/>
          <w:numId w:val="0"/>
        </w:numPr>
      </w:pPr>
      <w:r>
        <w:t>But the text in Annex 3 states</w:t>
      </w:r>
      <w:r w:rsidRPr="00A56CCB">
        <w:rPr>
          <w:color w:val="000000" w:themeColor="text1"/>
        </w:rPr>
        <w:t xml:space="preserve"> “the cube root </w:t>
      </w:r>
      <w:r w:rsidRPr="005711A8">
        <w:t>of EDR</w:t>
      </w:r>
      <w:r>
        <w:t xml:space="preserve">”.  This can be confusing to some users if they believe they need to derive the cubic root of the EDR value reported by the aircraft when referring to the values in Annex 3.  Clearly this is not the intention, thus the text “of the cube root” is removed from all EDR related provisions in Annex 3, but a statement that </w:t>
      </w:r>
      <w:r w:rsidRPr="005B3C7C">
        <w:rPr>
          <w:i/>
          <w:iCs/>
        </w:rPr>
        <w:t xml:space="preserve">EDR refers to the cubic root of the energy or eddy dissipation rate </w:t>
      </w:r>
      <w:r w:rsidRPr="005B3C7C">
        <w:rPr>
          <w:i/>
          <w:iCs/>
          <w:lang w:val="en-US"/>
        </w:rPr>
        <w:t>as based on estimated vertical wind velocity or aircraft vertical acceleration</w:t>
      </w:r>
      <w:r>
        <w:rPr>
          <w:iCs/>
          <w:lang w:val="en-US"/>
        </w:rPr>
        <w:t xml:space="preserve"> is added to the existing note in Annex 3.</w:t>
      </w:r>
    </w:p>
    <w:p w14:paraId="4795F8B5" w14:textId="7E6436F5" w:rsidR="005A6CC9" w:rsidRDefault="005A6CC9" w:rsidP="0038087C">
      <w:pPr>
        <w:pStyle w:val="2Para"/>
      </w:pPr>
      <w:r>
        <w:t xml:space="preserve">The Action 4/WAFS8 </w:t>
      </w:r>
      <w:r w:rsidR="00E0650A">
        <w:t xml:space="preserve">also </w:t>
      </w:r>
      <w:r>
        <w:t>called upon the ad hoc group to consider bringing this change to the attention of the Flight Operations Panel (FLTOPSP).  The Secretary to the METP (Neil) contacted the Secretary of the FLTOPSP who informed Neil that he saw no reason to involve the FLTOPSP in any decisions, rather he believes the FLTOPSP would welcome an Information Paper informing them of the changes and reasons, which can be written after METP/4.</w:t>
      </w:r>
    </w:p>
    <w:p w14:paraId="795C2640" w14:textId="07A45D25" w:rsidR="0038087C" w:rsidRDefault="0038087C" w:rsidP="0038087C">
      <w:pPr>
        <w:pStyle w:val="2Para"/>
      </w:pPr>
      <w:r>
        <w:t>The lowering of the turbulence thresholds for moderate and severe turbulence will increase the number of turbulence reports for these categories.  On at least one airline, its pilots see the EDR values in the cockpit, thus depending on the airline, voice reports of turbulence will likely be reflecting the observed EDR value.  If more severe turbulence reports are relayed by voice, it would likely increase the number of SIGMETs issued.  It is beyond the scope of this group to conduct the research to determine the possible increases in SIGMETs or any impact on operations.</w:t>
      </w:r>
    </w:p>
    <w:p w14:paraId="130DEB9F" w14:textId="408549BE" w:rsidR="0038087C" w:rsidRDefault="0038087C" w:rsidP="0038087C">
      <w:pPr>
        <w:pStyle w:val="2Para"/>
      </w:pPr>
      <w:r>
        <w:t xml:space="preserve">Lastly, a review of the Doc 4444 - </w:t>
      </w:r>
      <w:r w:rsidRPr="00B9019F">
        <w:t>PANS-ATM</w:t>
      </w:r>
      <w:r>
        <w:t xml:space="preserve">, Doc 8896 – </w:t>
      </w:r>
      <w:r w:rsidRPr="00D52FA9">
        <w:t>Manual of Aeronautical Meteorological Practice</w:t>
      </w:r>
      <w:r>
        <w:t xml:space="preserve"> and Doc 9377 – </w:t>
      </w:r>
      <w:r w:rsidRPr="00B9019F">
        <w:t>Manual on Coordination between Air Traffic Services, Aeronautical Information Services and Aeronautical Meteorological Services</w:t>
      </w:r>
      <w:r>
        <w:t>, showed there are no consequential amendments needed to these documents.</w:t>
      </w:r>
    </w:p>
    <w:p w14:paraId="3EA6454A" w14:textId="77777777" w:rsidR="00F802CC" w:rsidRDefault="00AE057F" w:rsidP="00D4285D">
      <w:pPr>
        <w:pStyle w:val="1Heading"/>
      </w:pPr>
      <w:r>
        <w:t>CONCLUSION</w:t>
      </w:r>
    </w:p>
    <w:p w14:paraId="55CA135A" w14:textId="21D5762A" w:rsidR="004838A1" w:rsidRDefault="00E2755A" w:rsidP="004F3242">
      <w:pPr>
        <w:pStyle w:val="2Para"/>
      </w:pPr>
      <w:r>
        <w:t xml:space="preserve">Research has shown that </w:t>
      </w:r>
      <w:r w:rsidR="00D4285D">
        <w:t xml:space="preserve">EDR thresholds </w:t>
      </w:r>
      <w:r>
        <w:t xml:space="preserve">for turbulence </w:t>
      </w:r>
      <w:r w:rsidR="00D4285D">
        <w:t xml:space="preserve">in Annex 3 </w:t>
      </w:r>
      <w:r>
        <w:t>are</w:t>
      </w:r>
      <w:r w:rsidR="004C45AF">
        <w:t xml:space="preserve"> too high</w:t>
      </w:r>
      <w:r>
        <w:t xml:space="preserve">. </w:t>
      </w:r>
      <w:r w:rsidR="004C45AF">
        <w:t xml:space="preserve">Given the above discussion the Panel is invited to formulate </w:t>
      </w:r>
      <w:r w:rsidR="001975D9">
        <w:t xml:space="preserve">the following draft </w:t>
      </w:r>
      <w:r w:rsidR="004C45AF">
        <w:t>recommendation</w:t>
      </w:r>
      <w:r w:rsidR="006E6B9C" w:rsidRPr="00DB282D">
        <w:t>:</w:t>
      </w:r>
    </w:p>
    <w:p w14:paraId="445552D0" w14:textId="4A63872F" w:rsidR="004838A1" w:rsidRPr="002261A0" w:rsidRDefault="001975D9" w:rsidP="00512B63">
      <w:pPr>
        <w:pStyle w:val="Default"/>
        <w:ind w:left="1276" w:right="1440"/>
        <w:jc w:val="both"/>
        <w:rPr>
          <w:b/>
          <w:bCs/>
          <w:sz w:val="22"/>
          <w:szCs w:val="22"/>
        </w:rPr>
      </w:pPr>
      <w:r>
        <w:rPr>
          <w:b/>
          <w:bCs/>
          <w:sz w:val="22"/>
          <w:szCs w:val="22"/>
        </w:rPr>
        <w:t xml:space="preserve">Draft </w:t>
      </w:r>
      <w:r w:rsidR="00733F67">
        <w:rPr>
          <w:b/>
          <w:bCs/>
          <w:sz w:val="22"/>
          <w:szCs w:val="22"/>
        </w:rPr>
        <w:t>Recommendation 4</w:t>
      </w:r>
      <w:r w:rsidR="004838A1">
        <w:rPr>
          <w:b/>
          <w:bCs/>
          <w:sz w:val="22"/>
          <w:szCs w:val="22"/>
        </w:rPr>
        <w:t xml:space="preserve">/xx </w:t>
      </w:r>
      <w:r w:rsidR="002A055C">
        <w:rPr>
          <w:b/>
          <w:bCs/>
          <w:sz w:val="22"/>
          <w:szCs w:val="22"/>
        </w:rPr>
        <w:t>—</w:t>
      </w:r>
      <w:r w:rsidR="002A055C" w:rsidRPr="009F6716">
        <w:rPr>
          <w:b/>
          <w:bCs/>
          <w:sz w:val="22"/>
          <w:szCs w:val="22"/>
        </w:rPr>
        <w:t xml:space="preserve"> </w:t>
      </w:r>
      <w:r w:rsidR="004C45AF">
        <w:rPr>
          <w:b/>
          <w:bCs/>
          <w:sz w:val="22"/>
          <w:szCs w:val="22"/>
        </w:rPr>
        <w:t>R</w:t>
      </w:r>
      <w:r w:rsidR="00AB030F">
        <w:rPr>
          <w:b/>
          <w:bCs/>
          <w:sz w:val="22"/>
          <w:szCs w:val="22"/>
        </w:rPr>
        <w:t xml:space="preserve">evised eddy dissipation rate (EDR) threshold values </w:t>
      </w:r>
      <w:r w:rsidR="00D8368F">
        <w:rPr>
          <w:b/>
          <w:bCs/>
          <w:sz w:val="22"/>
          <w:szCs w:val="22"/>
        </w:rPr>
        <w:t>in</w:t>
      </w:r>
      <w:r w:rsidR="004C45AF">
        <w:rPr>
          <w:b/>
          <w:bCs/>
          <w:sz w:val="22"/>
          <w:szCs w:val="22"/>
        </w:rPr>
        <w:t xml:space="preserve"> </w:t>
      </w:r>
      <w:r w:rsidR="002261A0">
        <w:rPr>
          <w:b/>
          <w:bCs/>
          <w:sz w:val="22"/>
          <w:szCs w:val="22"/>
        </w:rPr>
        <w:t>Annex 3</w:t>
      </w:r>
      <w:r w:rsidR="004C45AF">
        <w:rPr>
          <w:b/>
          <w:bCs/>
          <w:sz w:val="22"/>
          <w:szCs w:val="22"/>
        </w:rPr>
        <w:t xml:space="preserve"> - </w:t>
      </w:r>
      <w:r w:rsidR="004C45AF" w:rsidRPr="004C45AF">
        <w:rPr>
          <w:b/>
          <w:bCs/>
          <w:i/>
          <w:sz w:val="22"/>
          <w:szCs w:val="22"/>
        </w:rPr>
        <w:t>Meteorological Service for International Air Navigation</w:t>
      </w:r>
      <w:r w:rsidR="002261A0">
        <w:rPr>
          <w:b/>
          <w:bCs/>
          <w:sz w:val="22"/>
          <w:szCs w:val="22"/>
        </w:rPr>
        <w:t xml:space="preserve"> </w:t>
      </w:r>
    </w:p>
    <w:p w14:paraId="6FFF2013" w14:textId="6C1618DF" w:rsidR="008F6140" w:rsidRDefault="004E353A" w:rsidP="008D7663">
      <w:pPr>
        <w:pStyle w:val="2Para"/>
        <w:numPr>
          <w:ilvl w:val="0"/>
          <w:numId w:val="0"/>
        </w:numPr>
        <w:ind w:left="1276" w:right="1440"/>
      </w:pPr>
      <w:r>
        <w:t>That,</w:t>
      </w:r>
      <w:r w:rsidR="002A055C">
        <w:t xml:space="preserve"> </w:t>
      </w:r>
      <w:r w:rsidR="006C2E2E">
        <w:t>the Panel</w:t>
      </w:r>
    </w:p>
    <w:p w14:paraId="76177D22" w14:textId="36BA9C81" w:rsidR="006C2E2E" w:rsidRDefault="008F6140" w:rsidP="008D7663">
      <w:pPr>
        <w:pStyle w:val="2Para"/>
        <w:numPr>
          <w:ilvl w:val="0"/>
          <w:numId w:val="0"/>
        </w:numPr>
        <w:ind w:left="1276" w:right="1440"/>
      </w:pPr>
      <w:r>
        <w:t xml:space="preserve">a) </w:t>
      </w:r>
      <w:r w:rsidR="006C2E2E">
        <w:t xml:space="preserve">endorse </w:t>
      </w:r>
      <w:r w:rsidR="00D8368F">
        <w:t>the proposed changes to A</w:t>
      </w:r>
      <w:r w:rsidR="004F0AAA">
        <w:t xml:space="preserve">nnex 3 as shown in </w:t>
      </w:r>
      <w:r w:rsidR="00212BE7">
        <w:t xml:space="preserve">the </w:t>
      </w:r>
      <w:r w:rsidR="00CC4821">
        <w:t>appendix</w:t>
      </w:r>
      <w:r w:rsidR="0000351C">
        <w:t xml:space="preserve"> </w:t>
      </w:r>
      <w:r w:rsidR="00D8368F">
        <w:t>to this paper</w:t>
      </w:r>
      <w:r w:rsidR="006C2E2E">
        <w:t>; and</w:t>
      </w:r>
    </w:p>
    <w:p w14:paraId="1B597ADC" w14:textId="65617B2A" w:rsidR="001C52BE" w:rsidRDefault="006C2E2E" w:rsidP="006C2E2E">
      <w:pPr>
        <w:pStyle w:val="2Para"/>
        <w:numPr>
          <w:ilvl w:val="0"/>
          <w:numId w:val="0"/>
        </w:numPr>
        <w:ind w:left="1276" w:right="1440"/>
      </w:pPr>
      <w:r>
        <w:lastRenderedPageBreak/>
        <w:t>b)</w:t>
      </w:r>
      <w:r w:rsidR="0040177C">
        <w:t xml:space="preserve"> </w:t>
      </w:r>
      <w:r w:rsidR="00D639C8">
        <w:t>consolidate</w:t>
      </w:r>
      <w:r w:rsidR="001C52BE">
        <w:t xml:space="preserve"> with oth</w:t>
      </w:r>
      <w:r w:rsidR="0040177C">
        <w:t>er proposed changes for</w:t>
      </w:r>
      <w:r w:rsidR="001C52BE">
        <w:t xml:space="preserve"> Amendment 79 to Annex 3 - </w:t>
      </w:r>
      <w:r w:rsidR="001C52BE" w:rsidRPr="006E6B9C">
        <w:rPr>
          <w:i/>
        </w:rPr>
        <w:t>Meteorological Service for International Air Navigation</w:t>
      </w:r>
      <w:r w:rsidR="00D639C8">
        <w:t>.</w:t>
      </w:r>
    </w:p>
    <w:p w14:paraId="69306217" w14:textId="55DB1E7B" w:rsidR="00E0650A" w:rsidRDefault="00E0650A" w:rsidP="00E0650A">
      <w:pPr>
        <w:pStyle w:val="2Para"/>
      </w:pPr>
      <w:r>
        <w:t>As stated in paragraph 2.4, the FLTOPSP would welcome an Information Paper informing them of the changes and reasons, which can be written after METP/4.</w:t>
      </w:r>
    </w:p>
    <w:p w14:paraId="0489FFB5" w14:textId="5FD18FE2" w:rsidR="00E0650A" w:rsidRPr="002261A0" w:rsidRDefault="00E0650A" w:rsidP="00E0650A">
      <w:pPr>
        <w:pStyle w:val="Default"/>
        <w:ind w:left="1276" w:right="1440"/>
        <w:jc w:val="both"/>
        <w:rPr>
          <w:b/>
          <w:bCs/>
          <w:sz w:val="22"/>
          <w:szCs w:val="22"/>
        </w:rPr>
      </w:pPr>
      <w:r>
        <w:rPr>
          <w:b/>
          <w:bCs/>
          <w:sz w:val="22"/>
          <w:szCs w:val="22"/>
        </w:rPr>
        <w:t>Draft Recommendation 4/xx —</w:t>
      </w:r>
      <w:r w:rsidRPr="009F6716">
        <w:rPr>
          <w:b/>
          <w:bCs/>
          <w:sz w:val="22"/>
          <w:szCs w:val="22"/>
        </w:rPr>
        <w:t xml:space="preserve"> </w:t>
      </w:r>
      <w:r>
        <w:rPr>
          <w:b/>
          <w:bCs/>
          <w:sz w:val="22"/>
          <w:szCs w:val="22"/>
        </w:rPr>
        <w:t xml:space="preserve">Information Paper to the next meeting of the FLTOPSP on the revised eddy dissipation rate (EDR) threshold values in Annex 3 - </w:t>
      </w:r>
      <w:r w:rsidRPr="004C45AF">
        <w:rPr>
          <w:b/>
          <w:bCs/>
          <w:i/>
          <w:sz w:val="22"/>
          <w:szCs w:val="22"/>
        </w:rPr>
        <w:t>Meteorological Service for International Air Navigation</w:t>
      </w:r>
      <w:r>
        <w:rPr>
          <w:b/>
          <w:bCs/>
          <w:sz w:val="22"/>
          <w:szCs w:val="22"/>
        </w:rPr>
        <w:t xml:space="preserve"> </w:t>
      </w:r>
    </w:p>
    <w:p w14:paraId="12E63958" w14:textId="23518094" w:rsidR="00E0650A" w:rsidRDefault="00E0650A" w:rsidP="00E0650A">
      <w:pPr>
        <w:pStyle w:val="2Para"/>
        <w:numPr>
          <w:ilvl w:val="0"/>
          <w:numId w:val="0"/>
        </w:numPr>
        <w:ind w:left="1276" w:right="1440"/>
      </w:pPr>
      <w:r>
        <w:t xml:space="preserve">That, the Rapporteur of WG-MOG prepare and information paper on the changes to EDR values in Annex 3 in time for the next meeting of the FLTOPSP. </w:t>
      </w:r>
    </w:p>
    <w:p w14:paraId="57847B63" w14:textId="2CC3EA0D" w:rsidR="005E422A" w:rsidRDefault="005E422A" w:rsidP="005E422A">
      <w:pPr>
        <w:pStyle w:val="1Heading"/>
      </w:pPr>
      <w:r w:rsidRPr="005E422A">
        <w:t xml:space="preserve">ACTION BY THE </w:t>
      </w:r>
      <w:r w:rsidR="00287F90" w:rsidRPr="00353538">
        <w:t>METP</w:t>
      </w:r>
      <w:r w:rsidR="00733F67">
        <w:t>/4</w:t>
      </w:r>
    </w:p>
    <w:p w14:paraId="59672010" w14:textId="20B6006C" w:rsidR="005A6AC1" w:rsidRPr="005A6AC1" w:rsidRDefault="005E422A" w:rsidP="004E353A">
      <w:pPr>
        <w:pStyle w:val="2Para"/>
        <w:jc w:val="left"/>
        <w:rPr>
          <w:bCs/>
          <w:caps/>
        </w:rPr>
      </w:pPr>
      <w:r>
        <w:t xml:space="preserve">The </w:t>
      </w:r>
      <w:r w:rsidR="00DC4CAB">
        <w:t xml:space="preserve">METP </w:t>
      </w:r>
      <w:r>
        <w:t>is invited to</w:t>
      </w:r>
      <w:r w:rsidR="005A6AC1">
        <w:t>:</w:t>
      </w:r>
    </w:p>
    <w:p w14:paraId="085BE408" w14:textId="05F1DF68" w:rsidR="005A6AC1" w:rsidRDefault="005A6AC1" w:rsidP="005A6AC1">
      <w:pPr>
        <w:pStyle w:val="2Para"/>
        <w:numPr>
          <w:ilvl w:val="0"/>
          <w:numId w:val="0"/>
        </w:numPr>
        <w:ind w:left="1440"/>
        <w:jc w:val="left"/>
      </w:pPr>
      <w:r>
        <w:t>a) note</w:t>
      </w:r>
      <w:r w:rsidR="005E422A">
        <w:t xml:space="preserve"> the information contained in this </w:t>
      </w:r>
      <w:r w:rsidR="00DC4CAB">
        <w:t>paper</w:t>
      </w:r>
      <w:r>
        <w:t>; and</w:t>
      </w:r>
    </w:p>
    <w:p w14:paraId="62560478" w14:textId="65EC27D1" w:rsidR="00A72CC3" w:rsidRDefault="005A6AC1" w:rsidP="0030442B">
      <w:pPr>
        <w:pStyle w:val="2Para"/>
        <w:numPr>
          <w:ilvl w:val="0"/>
          <w:numId w:val="0"/>
        </w:numPr>
        <w:ind w:left="1440"/>
        <w:jc w:val="left"/>
        <w:rPr>
          <w:b/>
          <w:bCs/>
          <w:caps/>
        </w:rPr>
      </w:pPr>
      <w:r>
        <w:t xml:space="preserve">b) </w:t>
      </w:r>
      <w:r w:rsidR="00DC4CAB">
        <w:t>formulate the draft</w:t>
      </w:r>
      <w:r w:rsidR="00E2755A">
        <w:t xml:space="preserve"> recommendation</w:t>
      </w:r>
      <w:r w:rsidR="00E0650A">
        <w:t>s</w:t>
      </w:r>
      <w:r w:rsidR="00E2755A">
        <w:t xml:space="preserve"> contained in 3.1</w:t>
      </w:r>
      <w:r w:rsidR="00E0650A">
        <w:t xml:space="preserve"> and 3.2.</w:t>
      </w:r>
      <w:r w:rsidR="00A72CC3">
        <w:rPr>
          <w:b/>
          <w:bCs/>
          <w:caps/>
        </w:rPr>
        <w:br w:type="page"/>
      </w:r>
    </w:p>
    <w:p w14:paraId="50451C37" w14:textId="29ABDC50" w:rsidR="00635F8F" w:rsidRPr="00731E0B" w:rsidRDefault="00CC4821" w:rsidP="00635F8F">
      <w:pPr>
        <w:widowControl w:val="0"/>
        <w:tabs>
          <w:tab w:val="left" w:pos="360"/>
          <w:tab w:val="left" w:pos="1080"/>
          <w:tab w:val="left" w:pos="1440"/>
          <w:tab w:val="left" w:pos="1800"/>
          <w:tab w:val="left" w:pos="2160"/>
        </w:tabs>
        <w:autoSpaceDE/>
        <w:autoSpaceDN/>
        <w:adjustRightInd/>
        <w:spacing w:line="360" w:lineRule="exact"/>
        <w:jc w:val="center"/>
        <w:rPr>
          <w:rFonts w:eastAsia="SimSun"/>
          <w:b/>
          <w:bCs/>
          <w:color w:val="000090"/>
          <w:sz w:val="24"/>
          <w:lang w:val="en-US" w:eastAsia="zh-CN"/>
        </w:rPr>
      </w:pPr>
      <w:r>
        <w:rPr>
          <w:b/>
          <w:bCs/>
          <w:caps/>
          <w:color w:val="000090"/>
          <w:szCs w:val="22"/>
        </w:rPr>
        <w:lastRenderedPageBreak/>
        <w:t>APpendix</w:t>
      </w:r>
    </w:p>
    <w:p w14:paraId="7A3F9120" w14:textId="77777777" w:rsidR="00917FCE" w:rsidRDefault="00917FCE" w:rsidP="00635F8F">
      <w:pPr>
        <w:widowControl w:val="0"/>
        <w:tabs>
          <w:tab w:val="left" w:pos="360"/>
          <w:tab w:val="left" w:pos="1080"/>
          <w:tab w:val="left" w:pos="1440"/>
          <w:tab w:val="left" w:pos="1800"/>
          <w:tab w:val="left" w:pos="2160"/>
        </w:tabs>
        <w:autoSpaceDE/>
        <w:autoSpaceDN/>
        <w:adjustRightInd/>
        <w:spacing w:line="360" w:lineRule="exact"/>
        <w:jc w:val="center"/>
        <w:rPr>
          <w:rFonts w:eastAsia="SimSun"/>
          <w:b/>
          <w:bCs/>
          <w:sz w:val="24"/>
          <w:lang w:val="en-US" w:eastAsia="zh-CN"/>
        </w:rPr>
      </w:pPr>
    </w:p>
    <w:p w14:paraId="1841F699" w14:textId="614584B1" w:rsidR="00FE32C2" w:rsidRDefault="00763E28" w:rsidP="00FE32C2">
      <w:pPr>
        <w:widowControl w:val="0"/>
        <w:tabs>
          <w:tab w:val="left" w:pos="360"/>
          <w:tab w:val="left" w:pos="1080"/>
          <w:tab w:val="left" w:pos="1440"/>
          <w:tab w:val="left" w:pos="1800"/>
          <w:tab w:val="left" w:pos="2160"/>
        </w:tabs>
        <w:autoSpaceDE/>
        <w:autoSpaceDN/>
        <w:adjustRightInd/>
      </w:pPr>
      <w:r>
        <w:t>T</w:t>
      </w:r>
      <w:r w:rsidR="00FE32C2">
        <w:t xml:space="preserve">he following </w:t>
      </w:r>
      <w:r>
        <w:t xml:space="preserve">are proposed </w:t>
      </w:r>
      <w:r w:rsidR="00FE32C2">
        <w:t xml:space="preserve">revisions to </w:t>
      </w:r>
      <w:r w:rsidR="00501B75">
        <w:t>Appendix 4, 2.6.2 and 2.6.3, and Appendix 6, 4.</w:t>
      </w:r>
      <w:r w:rsidR="00AB3DC2">
        <w:t>2</w:t>
      </w:r>
      <w:r w:rsidR="00501B75">
        <w:t>.6 of Annex 3</w:t>
      </w:r>
      <w:r w:rsidR="00FE32C2">
        <w:t>:</w:t>
      </w:r>
    </w:p>
    <w:p w14:paraId="727F63CC" w14:textId="77777777" w:rsidR="009D35F8" w:rsidRPr="00FE32C2" w:rsidRDefault="009D35F8" w:rsidP="00FE32C2">
      <w:pPr>
        <w:widowControl w:val="0"/>
        <w:tabs>
          <w:tab w:val="left" w:pos="360"/>
          <w:tab w:val="left" w:pos="1080"/>
          <w:tab w:val="left" w:pos="1440"/>
          <w:tab w:val="left" w:pos="1800"/>
          <w:tab w:val="left" w:pos="2160"/>
        </w:tabs>
        <w:autoSpaceDE/>
        <w:autoSpaceDN/>
        <w:adjustRightInd/>
        <w:rPr>
          <w:rFonts w:eastAsia="SimSun"/>
          <w:bCs/>
          <w:sz w:val="24"/>
          <w:lang w:val="en-US" w:eastAsia="zh-CN"/>
        </w:rPr>
      </w:pPr>
    </w:p>
    <w:p w14:paraId="73AF6F89" w14:textId="13F8F3D5" w:rsidR="00917FCE" w:rsidRDefault="00FE32C2" w:rsidP="00635F8F">
      <w:pPr>
        <w:widowControl w:val="0"/>
        <w:tabs>
          <w:tab w:val="left" w:pos="360"/>
          <w:tab w:val="left" w:pos="1080"/>
          <w:tab w:val="left" w:pos="1440"/>
          <w:tab w:val="left" w:pos="1800"/>
          <w:tab w:val="left" w:pos="2160"/>
        </w:tabs>
        <w:autoSpaceDE/>
        <w:autoSpaceDN/>
        <w:adjustRightInd/>
        <w:spacing w:line="360" w:lineRule="exact"/>
        <w:jc w:val="center"/>
        <w:rPr>
          <w:rFonts w:eastAsia="SimSun"/>
          <w:b/>
          <w:bCs/>
          <w:sz w:val="24"/>
          <w:lang w:val="en-US" w:eastAsia="zh-CN"/>
        </w:rPr>
      </w:pPr>
      <w:r>
        <w:t>(</w:t>
      </w:r>
      <w:r>
        <w:rPr>
          <w:i/>
          <w:iCs/>
          <w:szCs w:val="22"/>
        </w:rPr>
        <w:t xml:space="preserve">Changes proposed are highlighted as </w:t>
      </w:r>
      <w:r w:rsidRPr="001177FF">
        <w:rPr>
          <w:rFonts w:eastAsia="SimSun"/>
          <w:bCs/>
          <w:strike/>
          <w:color w:val="FF0000"/>
          <w:szCs w:val="22"/>
          <w:lang w:val="en-US" w:eastAsia="zh-CN"/>
        </w:rPr>
        <w:t>deletions</w:t>
      </w:r>
      <w:r>
        <w:rPr>
          <w:szCs w:val="22"/>
        </w:rPr>
        <w:t xml:space="preserve"> </w:t>
      </w:r>
      <w:r>
        <w:rPr>
          <w:i/>
          <w:iCs/>
          <w:szCs w:val="22"/>
        </w:rPr>
        <w:t xml:space="preserve">or </w:t>
      </w:r>
      <w:r w:rsidRPr="001177FF">
        <w:rPr>
          <w:rFonts w:eastAsia="SimSun"/>
          <w:bCs/>
          <w:szCs w:val="22"/>
          <w:highlight w:val="lightGray"/>
          <w:lang w:val="en-US" w:eastAsia="zh-CN"/>
        </w:rPr>
        <w:t>additions</w:t>
      </w:r>
      <w:r>
        <w:rPr>
          <w:rFonts w:eastAsia="SimSun"/>
          <w:bCs/>
          <w:szCs w:val="22"/>
          <w:lang w:val="en-US" w:eastAsia="zh-CN"/>
        </w:rPr>
        <w:t>)</w:t>
      </w:r>
    </w:p>
    <w:p w14:paraId="023D2BD4" w14:textId="77777777" w:rsidR="00635F8F" w:rsidRDefault="00635F8F" w:rsidP="00635F8F">
      <w:pPr>
        <w:widowControl w:val="0"/>
        <w:tabs>
          <w:tab w:val="left" w:pos="360"/>
          <w:tab w:val="left" w:pos="1080"/>
          <w:tab w:val="left" w:pos="1440"/>
          <w:tab w:val="left" w:pos="1800"/>
          <w:tab w:val="left" w:pos="2160"/>
        </w:tabs>
        <w:autoSpaceDE/>
        <w:autoSpaceDN/>
        <w:adjustRightInd/>
        <w:spacing w:line="360" w:lineRule="exact"/>
        <w:jc w:val="center"/>
        <w:rPr>
          <w:rFonts w:eastAsia="SimSun"/>
          <w:b/>
          <w:bCs/>
          <w:sz w:val="24"/>
          <w:lang w:val="en-US" w:eastAsia="zh-CN"/>
        </w:rPr>
      </w:pPr>
    </w:p>
    <w:p w14:paraId="28708DFA" w14:textId="77777777" w:rsidR="00635F8F" w:rsidRDefault="00635F8F" w:rsidP="00635F8F">
      <w:pPr>
        <w:widowControl w:val="0"/>
        <w:tabs>
          <w:tab w:val="left" w:pos="360"/>
          <w:tab w:val="left" w:pos="1080"/>
          <w:tab w:val="left" w:pos="1440"/>
          <w:tab w:val="left" w:pos="1800"/>
          <w:tab w:val="left" w:pos="2160"/>
        </w:tabs>
        <w:autoSpaceDE/>
        <w:autoSpaceDN/>
        <w:adjustRightInd/>
        <w:spacing w:line="360" w:lineRule="exact"/>
        <w:jc w:val="center"/>
        <w:rPr>
          <w:rFonts w:eastAsia="SimSun"/>
          <w:b/>
          <w:bCs/>
          <w:sz w:val="24"/>
          <w:lang w:val="en-US" w:eastAsia="zh-CN"/>
        </w:rPr>
      </w:pPr>
      <w:r w:rsidRPr="008D7663">
        <w:rPr>
          <w:rFonts w:eastAsia="SimSun"/>
          <w:b/>
          <w:bCs/>
          <w:sz w:val="24"/>
          <w:lang w:val="en-US" w:eastAsia="zh-CN"/>
        </w:rPr>
        <w:t xml:space="preserve">APPENDIX 4. TECHNICAL SPECIFICATIONS RELATED TO </w:t>
      </w:r>
    </w:p>
    <w:p w14:paraId="01038611" w14:textId="77777777" w:rsidR="00635F8F" w:rsidRPr="008D7663" w:rsidRDefault="00635F8F" w:rsidP="00635F8F">
      <w:pPr>
        <w:widowControl w:val="0"/>
        <w:tabs>
          <w:tab w:val="left" w:pos="360"/>
          <w:tab w:val="left" w:pos="1080"/>
          <w:tab w:val="left" w:pos="1440"/>
          <w:tab w:val="left" w:pos="1800"/>
          <w:tab w:val="left" w:pos="2160"/>
        </w:tabs>
        <w:autoSpaceDE/>
        <w:autoSpaceDN/>
        <w:adjustRightInd/>
        <w:spacing w:line="360" w:lineRule="exact"/>
        <w:jc w:val="center"/>
        <w:rPr>
          <w:rFonts w:eastAsia="SimSun"/>
          <w:sz w:val="24"/>
          <w:lang w:val="en-US" w:eastAsia="zh-CN"/>
        </w:rPr>
      </w:pPr>
      <w:r w:rsidRPr="008D7663">
        <w:rPr>
          <w:rFonts w:eastAsia="SimSun"/>
          <w:b/>
          <w:bCs/>
          <w:sz w:val="24"/>
          <w:lang w:val="en-US" w:eastAsia="zh-CN"/>
        </w:rPr>
        <w:t>AIRCRAFT OBSERVATIONS AND REPORTS</w:t>
      </w:r>
    </w:p>
    <w:p w14:paraId="7F3AF045" w14:textId="77777777" w:rsidR="00635F8F" w:rsidRDefault="00635F8F" w:rsidP="00635F8F">
      <w:pPr>
        <w:widowControl w:val="0"/>
        <w:tabs>
          <w:tab w:val="left" w:pos="360"/>
          <w:tab w:val="left" w:pos="1080"/>
          <w:tab w:val="left" w:pos="1440"/>
          <w:tab w:val="left" w:pos="1800"/>
          <w:tab w:val="left" w:pos="2160"/>
        </w:tabs>
        <w:autoSpaceDE/>
        <w:autoSpaceDN/>
        <w:adjustRightInd/>
        <w:spacing w:line="360" w:lineRule="exact"/>
        <w:rPr>
          <w:rFonts w:eastAsia="SimSun"/>
          <w:szCs w:val="22"/>
          <w:lang w:eastAsia="zh-CN"/>
        </w:rPr>
      </w:pPr>
      <w:r>
        <w:rPr>
          <w:rFonts w:eastAsia="SimSun"/>
          <w:szCs w:val="22"/>
          <w:lang w:eastAsia="zh-CN"/>
        </w:rPr>
        <w:t>…</w:t>
      </w:r>
    </w:p>
    <w:p w14:paraId="13208CD1" w14:textId="77777777" w:rsidR="00635F8F" w:rsidRPr="006E0341" w:rsidRDefault="00635F8F" w:rsidP="00635F8F">
      <w:pPr>
        <w:widowControl w:val="0"/>
        <w:spacing w:after="240"/>
        <w:jc w:val="center"/>
        <w:rPr>
          <w:rFonts w:ascii="Times" w:hAnsi="Times" w:cs="Times"/>
          <w:sz w:val="20"/>
          <w:szCs w:val="20"/>
          <w:lang w:val="en-US"/>
        </w:rPr>
      </w:pPr>
      <w:r w:rsidRPr="006E0341">
        <w:rPr>
          <w:rFonts w:ascii="Times" w:hAnsi="Times" w:cs="Times"/>
          <w:b/>
          <w:bCs/>
          <w:sz w:val="20"/>
          <w:szCs w:val="20"/>
          <w:lang w:val="en-US"/>
        </w:rPr>
        <w:t>2.6 Turbulence</w:t>
      </w:r>
    </w:p>
    <w:p w14:paraId="62C6F5C8" w14:textId="77777777" w:rsidR="00635F8F" w:rsidRDefault="00635F8F" w:rsidP="00635F8F">
      <w:pPr>
        <w:widowControl w:val="0"/>
        <w:tabs>
          <w:tab w:val="left" w:pos="360"/>
          <w:tab w:val="left" w:pos="1080"/>
          <w:tab w:val="left" w:pos="1440"/>
          <w:tab w:val="left" w:pos="1800"/>
          <w:tab w:val="left" w:pos="2160"/>
        </w:tabs>
        <w:autoSpaceDE/>
        <w:autoSpaceDN/>
        <w:adjustRightInd/>
        <w:spacing w:line="360" w:lineRule="exact"/>
        <w:rPr>
          <w:rFonts w:eastAsia="SimSun"/>
          <w:szCs w:val="22"/>
          <w:lang w:eastAsia="zh-CN"/>
        </w:rPr>
      </w:pPr>
      <w:r>
        <w:rPr>
          <w:rFonts w:eastAsia="SimSun"/>
          <w:szCs w:val="22"/>
          <w:lang w:eastAsia="zh-CN"/>
        </w:rPr>
        <w:t>…</w:t>
      </w:r>
    </w:p>
    <w:p w14:paraId="45CB179A" w14:textId="77777777" w:rsidR="00FE32C2" w:rsidRPr="005711A8" w:rsidRDefault="00FE32C2" w:rsidP="00FE32C2">
      <w:pPr>
        <w:ind w:left="360"/>
        <w:jc w:val="center"/>
        <w:rPr>
          <w:sz w:val="20"/>
          <w:szCs w:val="20"/>
        </w:rPr>
      </w:pPr>
      <w:r w:rsidRPr="005711A8">
        <w:rPr>
          <w:sz w:val="20"/>
          <w:szCs w:val="20"/>
        </w:rPr>
        <w:t>2.6.2    Interpretation of the turbulence report</w:t>
      </w:r>
    </w:p>
    <w:p w14:paraId="1B554497" w14:textId="77777777" w:rsidR="00FE32C2" w:rsidRPr="005711A8" w:rsidRDefault="00FE32C2" w:rsidP="00FE32C2">
      <w:pPr>
        <w:ind w:left="360"/>
        <w:rPr>
          <w:sz w:val="20"/>
          <w:szCs w:val="20"/>
        </w:rPr>
      </w:pPr>
    </w:p>
    <w:p w14:paraId="31351FEF" w14:textId="77777777" w:rsidR="00FE32C2" w:rsidRPr="005711A8" w:rsidRDefault="00FE32C2" w:rsidP="00FE32C2">
      <w:pPr>
        <w:ind w:left="720"/>
        <w:rPr>
          <w:sz w:val="20"/>
          <w:szCs w:val="20"/>
        </w:rPr>
      </w:pPr>
      <w:r w:rsidRPr="005711A8">
        <w:rPr>
          <w:sz w:val="20"/>
          <w:szCs w:val="20"/>
        </w:rPr>
        <w:t>Turbulence shall be considered:</w:t>
      </w:r>
    </w:p>
    <w:p w14:paraId="5E16EDD0" w14:textId="77777777" w:rsidR="00FE32C2" w:rsidRPr="005711A8" w:rsidRDefault="00FE32C2" w:rsidP="00FE32C2">
      <w:pPr>
        <w:ind w:left="720"/>
        <w:rPr>
          <w:sz w:val="20"/>
          <w:szCs w:val="20"/>
        </w:rPr>
      </w:pPr>
    </w:p>
    <w:p w14:paraId="30AE242C" w14:textId="49C6E82E" w:rsidR="00FE32C2" w:rsidRPr="005711A8" w:rsidRDefault="00FE32C2" w:rsidP="00FE32C2">
      <w:pPr>
        <w:pStyle w:val="Indent-a"/>
        <w:ind w:right="720"/>
      </w:pPr>
      <w:r>
        <w:tab/>
      </w:r>
      <w:r w:rsidRPr="005711A8">
        <w:tab/>
        <w:t>a)</w:t>
      </w:r>
      <w:r w:rsidRPr="005711A8">
        <w:tab/>
        <w:t xml:space="preserve">severe when the peak value </w:t>
      </w:r>
      <w:r w:rsidRPr="005371D2">
        <w:rPr>
          <w:strike/>
          <w:color w:val="FF0000"/>
        </w:rPr>
        <w:t>of the cube root</w:t>
      </w:r>
      <w:r w:rsidRPr="005371D2">
        <w:t xml:space="preserve"> of</w:t>
      </w:r>
      <w:r w:rsidRPr="005711A8">
        <w:t xml:space="preserve"> EDR </w:t>
      </w:r>
      <w:r w:rsidR="0026533F" w:rsidRPr="0026533F">
        <w:rPr>
          <w:highlight w:val="lightGray"/>
        </w:rPr>
        <w:t>equals or</w:t>
      </w:r>
      <w:r w:rsidR="0026533F">
        <w:t xml:space="preserve"> </w:t>
      </w:r>
      <w:r w:rsidRPr="005711A8">
        <w:t xml:space="preserve">exceeds </w:t>
      </w:r>
      <w:r w:rsidRPr="00B15D81">
        <w:rPr>
          <w:strike/>
          <w:color w:val="FF0000"/>
        </w:rPr>
        <w:t>0.7</w:t>
      </w:r>
      <w:r>
        <w:t xml:space="preserve"> </w:t>
      </w:r>
      <w:r w:rsidR="00D73D29">
        <w:rPr>
          <w:highlight w:val="lightGray"/>
        </w:rPr>
        <w:t>0.</w:t>
      </w:r>
      <w:r w:rsidR="00D73D29" w:rsidRPr="000965D7">
        <w:rPr>
          <w:highlight w:val="lightGray"/>
        </w:rPr>
        <w:t>45</w:t>
      </w:r>
      <w:r w:rsidRPr="000965D7">
        <w:t>;</w:t>
      </w:r>
    </w:p>
    <w:p w14:paraId="23AE7D22" w14:textId="77777777" w:rsidR="00FE32C2" w:rsidRPr="005711A8" w:rsidRDefault="00FE32C2" w:rsidP="00FE32C2">
      <w:pPr>
        <w:pStyle w:val="Indent-a"/>
        <w:ind w:right="720"/>
      </w:pPr>
    </w:p>
    <w:p w14:paraId="78035053" w14:textId="6EC61995" w:rsidR="00FE32C2" w:rsidRPr="00D71A80" w:rsidRDefault="00FE32C2" w:rsidP="00FE32C2">
      <w:pPr>
        <w:pStyle w:val="Indent-a"/>
        <w:ind w:right="720"/>
        <w:rPr>
          <w:color w:val="FF0000"/>
        </w:rPr>
      </w:pPr>
      <w:r w:rsidRPr="005711A8">
        <w:tab/>
      </w:r>
      <w:r>
        <w:tab/>
      </w:r>
      <w:r w:rsidRPr="005711A8">
        <w:t>b)</w:t>
      </w:r>
      <w:r w:rsidRPr="005711A8">
        <w:tab/>
        <w:t xml:space="preserve">moderate when the peak value </w:t>
      </w:r>
      <w:r w:rsidRPr="005371D2">
        <w:rPr>
          <w:strike/>
          <w:color w:val="FF0000"/>
        </w:rPr>
        <w:t>of the cube root</w:t>
      </w:r>
      <w:r w:rsidRPr="005711A8">
        <w:t xml:space="preserve"> of EDR is </w:t>
      </w:r>
      <w:r w:rsidR="0026533F" w:rsidRPr="0026533F">
        <w:rPr>
          <w:highlight w:val="lightGray"/>
        </w:rPr>
        <w:t>equal to or</w:t>
      </w:r>
      <w:r w:rsidR="0026533F">
        <w:t xml:space="preserve"> </w:t>
      </w:r>
      <w:r w:rsidRPr="005711A8">
        <w:t xml:space="preserve">above </w:t>
      </w:r>
      <w:r w:rsidRPr="00B15D81">
        <w:rPr>
          <w:strike/>
          <w:color w:val="FF0000"/>
        </w:rPr>
        <w:t>0.4</w:t>
      </w:r>
      <w:r w:rsidRPr="005711A8">
        <w:t xml:space="preserve"> </w:t>
      </w:r>
      <w:r w:rsidRPr="00B15D81">
        <w:rPr>
          <w:highlight w:val="lightGray"/>
        </w:rPr>
        <w:t>0.20</w:t>
      </w:r>
      <w:r>
        <w:t xml:space="preserve"> </w:t>
      </w:r>
      <w:r w:rsidRPr="005711A8">
        <w:t xml:space="preserve">and below </w:t>
      </w:r>
      <w:r w:rsidRPr="0026533F">
        <w:rPr>
          <w:strike/>
          <w:color w:val="FF0000"/>
        </w:rPr>
        <w:t>or equal to</w:t>
      </w:r>
      <w:r w:rsidRPr="0026533F">
        <w:rPr>
          <w:strike/>
        </w:rPr>
        <w:t xml:space="preserve"> </w:t>
      </w:r>
      <w:r w:rsidRPr="0026533F">
        <w:rPr>
          <w:strike/>
          <w:color w:val="FF0000"/>
        </w:rPr>
        <w:t>0</w:t>
      </w:r>
      <w:r w:rsidRPr="00B15D81">
        <w:rPr>
          <w:strike/>
          <w:color w:val="FF0000"/>
        </w:rPr>
        <w:t>.7</w:t>
      </w:r>
      <w:r>
        <w:t xml:space="preserve"> </w:t>
      </w:r>
      <w:r w:rsidR="00D73D29">
        <w:rPr>
          <w:highlight w:val="lightGray"/>
        </w:rPr>
        <w:t>0.45</w:t>
      </w:r>
      <w:r w:rsidRPr="000965D7">
        <w:t>;</w:t>
      </w:r>
    </w:p>
    <w:p w14:paraId="322D6B3A" w14:textId="77777777" w:rsidR="00FE32C2" w:rsidRPr="005711A8" w:rsidRDefault="00FE32C2" w:rsidP="00FE32C2">
      <w:pPr>
        <w:pStyle w:val="Indent-a"/>
        <w:ind w:right="720"/>
      </w:pPr>
    </w:p>
    <w:p w14:paraId="13775947" w14:textId="274305BB" w:rsidR="00FE32C2" w:rsidRDefault="00FE32C2" w:rsidP="00FE32C2">
      <w:pPr>
        <w:pStyle w:val="Indent-a"/>
        <w:ind w:right="720"/>
      </w:pPr>
      <w:r w:rsidRPr="005711A8">
        <w:tab/>
      </w:r>
      <w:r>
        <w:tab/>
      </w:r>
      <w:r w:rsidRPr="005711A8">
        <w:t>c)</w:t>
      </w:r>
      <w:r w:rsidRPr="005711A8">
        <w:tab/>
        <w:t xml:space="preserve">light when the peak value </w:t>
      </w:r>
      <w:r w:rsidRPr="005371D2">
        <w:rPr>
          <w:strike/>
          <w:color w:val="FF0000"/>
        </w:rPr>
        <w:t>of the cube root</w:t>
      </w:r>
      <w:r w:rsidRPr="005711A8">
        <w:t xml:space="preserve"> of EDR is above </w:t>
      </w:r>
      <w:r w:rsidRPr="00CE767D">
        <w:rPr>
          <w:color w:val="000000" w:themeColor="text1"/>
        </w:rPr>
        <w:t>0.1</w:t>
      </w:r>
      <w:r w:rsidR="00CE767D" w:rsidRPr="00CE767D">
        <w:rPr>
          <w:color w:val="000000" w:themeColor="text1"/>
          <w:shd w:val="clear" w:color="auto" w:fill="D9D9D9" w:themeFill="background1" w:themeFillShade="D9"/>
        </w:rPr>
        <w:t>0</w:t>
      </w:r>
      <w:r w:rsidRPr="005711A8">
        <w:t xml:space="preserve"> and below </w:t>
      </w:r>
      <w:r w:rsidRPr="002D606B">
        <w:rPr>
          <w:strike/>
          <w:color w:val="FF0000"/>
        </w:rPr>
        <w:t>or equal to 0</w:t>
      </w:r>
      <w:r w:rsidRPr="00B15D81">
        <w:rPr>
          <w:strike/>
          <w:color w:val="FF0000"/>
        </w:rPr>
        <w:t>.4</w:t>
      </w:r>
      <w:r>
        <w:t xml:space="preserve"> </w:t>
      </w:r>
      <w:r w:rsidRPr="00B15D81">
        <w:rPr>
          <w:highlight w:val="lightGray"/>
        </w:rPr>
        <w:t>0.</w:t>
      </w:r>
      <w:r w:rsidRPr="000965D7">
        <w:rPr>
          <w:highlight w:val="lightGray"/>
        </w:rPr>
        <w:t>20</w:t>
      </w:r>
      <w:r w:rsidRPr="000965D7">
        <w:t>;</w:t>
      </w:r>
    </w:p>
    <w:p w14:paraId="64A8BE06" w14:textId="77777777" w:rsidR="00FE32C2" w:rsidRDefault="00FE32C2" w:rsidP="00FE32C2">
      <w:pPr>
        <w:pStyle w:val="Indent-a"/>
        <w:ind w:right="720"/>
      </w:pPr>
    </w:p>
    <w:p w14:paraId="388EE617" w14:textId="513F9AE5" w:rsidR="00FE32C2" w:rsidRDefault="00FE32C2" w:rsidP="00FE32C2">
      <w:pPr>
        <w:pStyle w:val="Indent-a"/>
        <w:ind w:right="720"/>
      </w:pPr>
      <w:r>
        <w:tab/>
      </w:r>
      <w:r>
        <w:tab/>
      </w:r>
      <w:r w:rsidRPr="005711A8">
        <w:t>d)</w:t>
      </w:r>
      <w:r w:rsidRPr="005711A8">
        <w:tab/>
        <w:t xml:space="preserve">nil when the peak value </w:t>
      </w:r>
      <w:r w:rsidRPr="005371D2">
        <w:rPr>
          <w:strike/>
          <w:color w:val="FF0000"/>
        </w:rPr>
        <w:t>of the cube root</w:t>
      </w:r>
      <w:r w:rsidRPr="005711A8">
        <w:t xml:space="preserve"> of EDR is below </w:t>
      </w:r>
      <w:r w:rsidRPr="00CE767D">
        <w:rPr>
          <w:color w:val="000000" w:themeColor="text1"/>
        </w:rPr>
        <w:t>or equal to 0.1</w:t>
      </w:r>
      <w:r w:rsidR="00CE767D" w:rsidRPr="00CE767D">
        <w:rPr>
          <w:color w:val="000000" w:themeColor="text1"/>
          <w:shd w:val="clear" w:color="auto" w:fill="D9D9D9" w:themeFill="background1" w:themeFillShade="D9"/>
        </w:rPr>
        <w:t>0</w:t>
      </w:r>
      <w:r w:rsidRPr="000965D7">
        <w:t>.</w:t>
      </w:r>
    </w:p>
    <w:p w14:paraId="5D1DC823" w14:textId="77777777" w:rsidR="00FE32C2" w:rsidRDefault="00FE32C2" w:rsidP="00FE32C2">
      <w:pPr>
        <w:ind w:left="720" w:right="720"/>
        <w:rPr>
          <w:i/>
          <w:iCs/>
          <w:sz w:val="20"/>
          <w:szCs w:val="20"/>
        </w:rPr>
      </w:pPr>
    </w:p>
    <w:p w14:paraId="5A93C101" w14:textId="14D1E15C" w:rsidR="00FE32C2" w:rsidRDefault="00FE32C2" w:rsidP="00FE32C2">
      <w:pPr>
        <w:ind w:left="720" w:right="720"/>
        <w:rPr>
          <w:i/>
          <w:iCs/>
          <w:sz w:val="20"/>
          <w:szCs w:val="20"/>
        </w:rPr>
      </w:pPr>
      <w:r w:rsidRPr="005711A8">
        <w:rPr>
          <w:i/>
          <w:iCs/>
          <w:sz w:val="20"/>
          <w:szCs w:val="20"/>
        </w:rPr>
        <w:t>Note</w:t>
      </w:r>
      <w:r w:rsidR="00CE767D">
        <w:rPr>
          <w:i/>
          <w:iCs/>
          <w:sz w:val="20"/>
          <w:szCs w:val="20"/>
        </w:rPr>
        <w:t xml:space="preserve"> </w:t>
      </w:r>
      <w:proofErr w:type="gramStart"/>
      <w:r w:rsidR="00CE767D" w:rsidRPr="00CE767D">
        <w:rPr>
          <w:i/>
          <w:iCs/>
          <w:sz w:val="20"/>
          <w:szCs w:val="20"/>
          <w:shd w:val="clear" w:color="auto" w:fill="D9D9D9" w:themeFill="background1" w:themeFillShade="D9"/>
        </w:rPr>
        <w:t>1</w:t>
      </w:r>
      <w:r w:rsidR="00CE767D">
        <w:rPr>
          <w:i/>
          <w:iCs/>
          <w:sz w:val="20"/>
          <w:szCs w:val="20"/>
        </w:rPr>
        <w:t>.</w:t>
      </w:r>
      <w:r w:rsidRPr="005711A8">
        <w:rPr>
          <w:i/>
          <w:iCs/>
          <w:sz w:val="20"/>
          <w:szCs w:val="20"/>
        </w:rPr>
        <w:t>—</w:t>
      </w:r>
      <w:proofErr w:type="gramEnd"/>
      <w:r w:rsidRPr="005711A8">
        <w:rPr>
          <w:i/>
          <w:iCs/>
          <w:sz w:val="20"/>
          <w:szCs w:val="20"/>
        </w:rPr>
        <w:t xml:space="preserve"> The EDR is an aircraft</w:t>
      </w:r>
      <w:r w:rsidRPr="005711A8">
        <w:rPr>
          <w:i/>
          <w:iCs/>
          <w:sz w:val="20"/>
          <w:szCs w:val="20"/>
        </w:rPr>
        <w:noBreakHyphen/>
        <w:t>independent measure of turbulence.</w:t>
      </w:r>
      <w:r w:rsidR="005B3C7C" w:rsidRPr="005711A8">
        <w:rPr>
          <w:i/>
          <w:iCs/>
          <w:sz w:val="20"/>
          <w:szCs w:val="20"/>
        </w:rPr>
        <w:t xml:space="preserve"> </w:t>
      </w:r>
      <w:r w:rsidRPr="005711A8">
        <w:rPr>
          <w:i/>
          <w:iCs/>
          <w:sz w:val="20"/>
          <w:szCs w:val="20"/>
        </w:rPr>
        <w:t xml:space="preserve">However, the relationship between the EDR value and the perception of turbulence is a function of aircraft type, and the mass, altitude, configuration and airspeed of the aircraft. The EDR values given above describe the severity levels </w:t>
      </w:r>
      <w:r w:rsidRPr="00AB60AE">
        <w:rPr>
          <w:i/>
          <w:iCs/>
          <w:sz w:val="20"/>
          <w:szCs w:val="20"/>
        </w:rPr>
        <w:t xml:space="preserve">for </w:t>
      </w:r>
      <w:r w:rsidRPr="00EC5B63">
        <w:rPr>
          <w:i/>
          <w:iCs/>
          <w:sz w:val="20"/>
          <w:szCs w:val="20"/>
        </w:rPr>
        <w:t>a medium-sized transport</w:t>
      </w:r>
      <w:r w:rsidRPr="005711A8">
        <w:rPr>
          <w:i/>
          <w:iCs/>
          <w:sz w:val="20"/>
          <w:szCs w:val="20"/>
        </w:rPr>
        <w:t xml:space="preserve"> aircraft under typical en</w:t>
      </w:r>
      <w:r w:rsidRPr="005711A8">
        <w:rPr>
          <w:i/>
          <w:iCs/>
          <w:sz w:val="20"/>
          <w:szCs w:val="20"/>
        </w:rPr>
        <w:noBreakHyphen/>
        <w:t>route conditions (i.e. altitude, airspeed and weight).</w:t>
      </w:r>
    </w:p>
    <w:p w14:paraId="34AB645A" w14:textId="2E35ACA2" w:rsidR="00CE767D" w:rsidRDefault="00CE767D" w:rsidP="00FE32C2">
      <w:pPr>
        <w:ind w:left="720" w:right="720"/>
        <w:rPr>
          <w:i/>
          <w:iCs/>
          <w:sz w:val="20"/>
          <w:szCs w:val="20"/>
        </w:rPr>
      </w:pPr>
    </w:p>
    <w:p w14:paraId="5C2C97D2" w14:textId="635D6D21" w:rsidR="00CE767D" w:rsidRDefault="00CE767D" w:rsidP="00FE32C2">
      <w:pPr>
        <w:ind w:left="720" w:right="720"/>
        <w:rPr>
          <w:i/>
          <w:iCs/>
          <w:sz w:val="20"/>
          <w:szCs w:val="20"/>
        </w:rPr>
      </w:pPr>
      <w:r w:rsidRPr="00CE767D">
        <w:rPr>
          <w:i/>
          <w:iCs/>
          <w:sz w:val="20"/>
          <w:szCs w:val="20"/>
          <w:shd w:val="clear" w:color="auto" w:fill="D9D9D9" w:themeFill="background1" w:themeFillShade="D9"/>
        </w:rPr>
        <w:t>Note</w:t>
      </w:r>
      <w:r>
        <w:rPr>
          <w:i/>
          <w:iCs/>
          <w:sz w:val="20"/>
          <w:szCs w:val="20"/>
          <w:shd w:val="clear" w:color="auto" w:fill="D9D9D9" w:themeFill="background1" w:themeFillShade="D9"/>
        </w:rPr>
        <w:t xml:space="preserve"> </w:t>
      </w:r>
      <w:r w:rsidRPr="00CE767D">
        <w:rPr>
          <w:i/>
          <w:iCs/>
          <w:sz w:val="20"/>
          <w:szCs w:val="20"/>
          <w:shd w:val="clear" w:color="auto" w:fill="D9D9D9" w:themeFill="background1" w:themeFillShade="D9"/>
        </w:rPr>
        <w:t xml:space="preserve">2.— </w:t>
      </w:r>
      <w:r w:rsidRPr="00CE767D">
        <w:rPr>
          <w:i/>
          <w:iCs/>
          <w:sz w:val="20"/>
          <w:szCs w:val="20"/>
          <w:highlight w:val="lightGray"/>
          <w:shd w:val="clear" w:color="auto" w:fill="D9D9D9" w:themeFill="background1" w:themeFillShade="D9"/>
        </w:rPr>
        <w:t>EDR</w:t>
      </w:r>
      <w:r w:rsidRPr="005B3C7C">
        <w:rPr>
          <w:i/>
          <w:iCs/>
          <w:sz w:val="20"/>
          <w:szCs w:val="20"/>
          <w:highlight w:val="lightGray"/>
        </w:rPr>
        <w:t xml:space="preserve"> refers to the cub</w:t>
      </w:r>
      <w:r w:rsidR="00807F34">
        <w:rPr>
          <w:i/>
          <w:iCs/>
          <w:sz w:val="20"/>
          <w:szCs w:val="20"/>
          <w:highlight w:val="lightGray"/>
        </w:rPr>
        <w:t>e</w:t>
      </w:r>
      <w:r w:rsidRPr="005B3C7C">
        <w:rPr>
          <w:i/>
          <w:iCs/>
          <w:sz w:val="20"/>
          <w:szCs w:val="20"/>
          <w:highlight w:val="lightGray"/>
        </w:rPr>
        <w:t xml:space="preserve"> root of the energy or eddy dissipation rate </w:t>
      </w:r>
      <w:r w:rsidR="00807F34">
        <w:rPr>
          <w:i/>
          <w:iCs/>
          <w:sz w:val="20"/>
          <w:szCs w:val="20"/>
          <w:highlight w:val="lightGray"/>
        </w:rPr>
        <w:t xml:space="preserve">estimated from aircraft data parameters (e.g., </w:t>
      </w:r>
      <w:r w:rsidRPr="005B3C7C">
        <w:rPr>
          <w:i/>
          <w:iCs/>
          <w:sz w:val="20"/>
          <w:szCs w:val="20"/>
          <w:highlight w:val="lightGray"/>
          <w:lang w:val="en-US"/>
        </w:rPr>
        <w:t>vertical wind velocity o</w:t>
      </w:r>
      <w:r>
        <w:rPr>
          <w:i/>
          <w:iCs/>
          <w:sz w:val="20"/>
          <w:szCs w:val="20"/>
          <w:highlight w:val="lightGray"/>
          <w:lang w:val="en-US"/>
        </w:rPr>
        <w:t>r aircraft vertical acceleration</w:t>
      </w:r>
      <w:r w:rsidR="00807F34">
        <w:rPr>
          <w:i/>
          <w:iCs/>
          <w:sz w:val="20"/>
          <w:szCs w:val="20"/>
          <w:highlight w:val="lightGray"/>
          <w:lang w:val="en-US"/>
        </w:rPr>
        <w:t>)</w:t>
      </w:r>
      <w:r>
        <w:rPr>
          <w:i/>
          <w:iCs/>
          <w:sz w:val="20"/>
          <w:szCs w:val="20"/>
          <w:highlight w:val="lightGray"/>
          <w:lang w:val="en-US"/>
        </w:rPr>
        <w:t>.</w:t>
      </w:r>
    </w:p>
    <w:p w14:paraId="3E25842C" w14:textId="404C56C4" w:rsidR="005B3C7C" w:rsidRDefault="005B3C7C" w:rsidP="00FE32C2">
      <w:pPr>
        <w:ind w:left="720" w:right="720"/>
        <w:rPr>
          <w:i/>
          <w:iCs/>
          <w:sz w:val="20"/>
          <w:szCs w:val="20"/>
        </w:rPr>
      </w:pPr>
    </w:p>
    <w:p w14:paraId="7160187B" w14:textId="77777777" w:rsidR="00FE32C2" w:rsidRPr="005711A8" w:rsidRDefault="00FE32C2" w:rsidP="00FE32C2">
      <w:pPr>
        <w:ind w:left="720"/>
        <w:rPr>
          <w:sz w:val="20"/>
          <w:szCs w:val="20"/>
        </w:rPr>
      </w:pPr>
    </w:p>
    <w:p w14:paraId="0E980DB7" w14:textId="77777777" w:rsidR="00FE32C2" w:rsidRPr="005711A8" w:rsidRDefault="00FE32C2" w:rsidP="00FE32C2">
      <w:pPr>
        <w:ind w:left="720"/>
        <w:jc w:val="center"/>
        <w:rPr>
          <w:sz w:val="20"/>
          <w:szCs w:val="20"/>
        </w:rPr>
      </w:pPr>
      <w:r w:rsidRPr="005711A8">
        <w:rPr>
          <w:sz w:val="20"/>
          <w:szCs w:val="20"/>
        </w:rPr>
        <w:t>2.6.3    Special air</w:t>
      </w:r>
      <w:r w:rsidRPr="005711A8">
        <w:rPr>
          <w:sz w:val="20"/>
          <w:szCs w:val="20"/>
        </w:rPr>
        <w:noBreakHyphen/>
        <w:t>reports</w:t>
      </w:r>
    </w:p>
    <w:p w14:paraId="05CFDAEB" w14:textId="6B5E5E6D" w:rsidR="00635F8F" w:rsidRDefault="00FE32C2" w:rsidP="00FE32C2">
      <w:pPr>
        <w:widowControl w:val="0"/>
        <w:tabs>
          <w:tab w:val="left" w:pos="360"/>
          <w:tab w:val="left" w:pos="1080"/>
          <w:tab w:val="left" w:pos="1440"/>
          <w:tab w:val="left" w:pos="1800"/>
          <w:tab w:val="left" w:pos="2160"/>
        </w:tabs>
        <w:autoSpaceDE/>
        <w:autoSpaceDN/>
        <w:adjustRightInd/>
        <w:rPr>
          <w:rFonts w:eastAsia="SimSun"/>
          <w:szCs w:val="22"/>
          <w:lang w:eastAsia="zh-CN"/>
        </w:rPr>
      </w:pPr>
      <w:r w:rsidRPr="00B8056A">
        <w:rPr>
          <w:sz w:val="20"/>
          <w:szCs w:val="20"/>
        </w:rPr>
        <w:t>Special air</w:t>
      </w:r>
      <w:r w:rsidRPr="00B8056A">
        <w:rPr>
          <w:sz w:val="20"/>
          <w:szCs w:val="20"/>
        </w:rPr>
        <w:noBreakHyphen/>
        <w:t xml:space="preserve">reports on turbulence shall be made during any phase of the flight whenever the peak value </w:t>
      </w:r>
      <w:r w:rsidRPr="005371D2">
        <w:rPr>
          <w:strike/>
          <w:color w:val="FF0000"/>
          <w:sz w:val="20"/>
          <w:szCs w:val="20"/>
        </w:rPr>
        <w:t>of the cube root</w:t>
      </w:r>
      <w:r w:rsidRPr="00B8056A">
        <w:rPr>
          <w:sz w:val="20"/>
          <w:szCs w:val="20"/>
        </w:rPr>
        <w:t xml:space="preserve"> of EDR </w:t>
      </w:r>
      <w:r w:rsidR="00BC3815" w:rsidRPr="00BC3815">
        <w:rPr>
          <w:sz w:val="20"/>
          <w:szCs w:val="20"/>
          <w:highlight w:val="lightGray"/>
        </w:rPr>
        <w:t>equals or</w:t>
      </w:r>
      <w:r w:rsidR="00BC3815">
        <w:rPr>
          <w:sz w:val="20"/>
          <w:szCs w:val="20"/>
        </w:rPr>
        <w:t xml:space="preserve"> </w:t>
      </w:r>
      <w:r w:rsidRPr="00B8056A">
        <w:rPr>
          <w:sz w:val="20"/>
          <w:szCs w:val="20"/>
        </w:rPr>
        <w:t xml:space="preserve">exceeds </w:t>
      </w:r>
      <w:r w:rsidRPr="00B8056A">
        <w:rPr>
          <w:strike/>
          <w:color w:val="FF0000"/>
          <w:sz w:val="20"/>
          <w:szCs w:val="20"/>
        </w:rPr>
        <w:t>0.4</w:t>
      </w:r>
      <w:r w:rsidRPr="00B8056A">
        <w:rPr>
          <w:sz w:val="20"/>
          <w:szCs w:val="20"/>
        </w:rPr>
        <w:t xml:space="preserve"> </w:t>
      </w:r>
      <w:r w:rsidRPr="00B8056A">
        <w:rPr>
          <w:sz w:val="20"/>
          <w:szCs w:val="20"/>
          <w:highlight w:val="lightGray"/>
        </w:rPr>
        <w:t>0.20</w:t>
      </w:r>
      <w:r w:rsidRPr="00B8056A">
        <w:rPr>
          <w:sz w:val="20"/>
          <w:szCs w:val="20"/>
        </w:rPr>
        <w:t>. The special air</w:t>
      </w:r>
      <w:r w:rsidRPr="00B8056A">
        <w:rPr>
          <w:sz w:val="20"/>
          <w:szCs w:val="20"/>
        </w:rPr>
        <w:noBreakHyphen/>
        <w:t>report on turbulence shall be made with reference to the 1-minute period immediately preceding the observation. Both the average and peak value of turbulence shall be observed. The average and peak values shall be reported in terms of the cube root of EDR. Special air</w:t>
      </w:r>
      <w:r w:rsidRPr="00B8056A">
        <w:rPr>
          <w:sz w:val="20"/>
          <w:szCs w:val="20"/>
        </w:rPr>
        <w:noBreakHyphen/>
        <w:t xml:space="preserve">reports shall be issued every minute until such time as the peak values </w:t>
      </w:r>
      <w:r w:rsidRPr="005371D2">
        <w:rPr>
          <w:strike/>
          <w:color w:val="FF0000"/>
          <w:sz w:val="20"/>
          <w:szCs w:val="20"/>
        </w:rPr>
        <w:t>of the cube root</w:t>
      </w:r>
      <w:r w:rsidRPr="00B8056A">
        <w:rPr>
          <w:sz w:val="20"/>
          <w:szCs w:val="20"/>
        </w:rPr>
        <w:t xml:space="preserve"> of EDR fall below </w:t>
      </w:r>
      <w:r w:rsidRPr="00B8056A">
        <w:rPr>
          <w:strike/>
          <w:color w:val="FF0000"/>
          <w:sz w:val="20"/>
          <w:szCs w:val="20"/>
        </w:rPr>
        <w:t>0.4</w:t>
      </w:r>
      <w:r w:rsidRPr="00B8056A">
        <w:rPr>
          <w:sz w:val="20"/>
          <w:szCs w:val="20"/>
        </w:rPr>
        <w:t xml:space="preserve"> </w:t>
      </w:r>
      <w:r w:rsidRPr="00B8056A">
        <w:rPr>
          <w:sz w:val="20"/>
          <w:szCs w:val="20"/>
          <w:highlight w:val="lightGray"/>
        </w:rPr>
        <w:t>0.20</w:t>
      </w:r>
      <w:r>
        <w:rPr>
          <w:sz w:val="20"/>
          <w:szCs w:val="20"/>
        </w:rPr>
        <w:t>.</w:t>
      </w:r>
    </w:p>
    <w:p w14:paraId="412251C4" w14:textId="77777777" w:rsidR="00635F8F" w:rsidRDefault="00635F8F" w:rsidP="00635F8F">
      <w:pPr>
        <w:widowControl w:val="0"/>
        <w:tabs>
          <w:tab w:val="left" w:pos="360"/>
          <w:tab w:val="left" w:pos="1080"/>
          <w:tab w:val="left" w:pos="1440"/>
          <w:tab w:val="left" w:pos="1800"/>
          <w:tab w:val="left" w:pos="2160"/>
        </w:tabs>
        <w:autoSpaceDE/>
        <w:autoSpaceDN/>
        <w:adjustRightInd/>
        <w:spacing w:line="360" w:lineRule="exact"/>
        <w:rPr>
          <w:rFonts w:eastAsia="SimSun"/>
          <w:szCs w:val="22"/>
          <w:lang w:eastAsia="zh-CN"/>
        </w:rPr>
      </w:pPr>
    </w:p>
    <w:p w14:paraId="5CA79927" w14:textId="77777777" w:rsidR="00635F8F" w:rsidRDefault="00635F8F" w:rsidP="00635F8F">
      <w:pPr>
        <w:widowControl w:val="0"/>
        <w:tabs>
          <w:tab w:val="left" w:pos="360"/>
          <w:tab w:val="left" w:pos="1080"/>
          <w:tab w:val="left" w:pos="1440"/>
          <w:tab w:val="left" w:pos="1800"/>
          <w:tab w:val="left" w:pos="2160"/>
        </w:tabs>
        <w:autoSpaceDE/>
        <w:autoSpaceDN/>
        <w:adjustRightInd/>
        <w:spacing w:line="360" w:lineRule="exact"/>
        <w:rPr>
          <w:rFonts w:eastAsia="SimSun"/>
          <w:szCs w:val="22"/>
          <w:lang w:eastAsia="zh-CN"/>
        </w:rPr>
      </w:pPr>
      <w:r>
        <w:rPr>
          <w:rFonts w:eastAsia="SimSun"/>
          <w:szCs w:val="22"/>
          <w:lang w:eastAsia="zh-CN"/>
        </w:rPr>
        <w:t>…</w:t>
      </w:r>
    </w:p>
    <w:p w14:paraId="24AB5BEA" w14:textId="77777777" w:rsidR="00635F8F" w:rsidRDefault="00635F8F" w:rsidP="00635F8F">
      <w:pPr>
        <w:widowControl w:val="0"/>
        <w:tabs>
          <w:tab w:val="left" w:pos="360"/>
          <w:tab w:val="left" w:pos="1080"/>
          <w:tab w:val="left" w:pos="1440"/>
          <w:tab w:val="left" w:pos="1800"/>
          <w:tab w:val="left" w:pos="2160"/>
        </w:tabs>
        <w:autoSpaceDE/>
        <w:autoSpaceDN/>
        <w:adjustRightInd/>
        <w:spacing w:line="360" w:lineRule="exact"/>
        <w:rPr>
          <w:rFonts w:eastAsia="SimSun"/>
          <w:szCs w:val="22"/>
          <w:lang w:eastAsia="zh-CN"/>
        </w:rPr>
      </w:pPr>
    </w:p>
    <w:p w14:paraId="46F72EF0" w14:textId="77777777" w:rsidR="00635F8F" w:rsidRDefault="00635F8F" w:rsidP="00635F8F">
      <w:pPr>
        <w:widowControl w:val="0"/>
        <w:tabs>
          <w:tab w:val="left" w:pos="360"/>
          <w:tab w:val="left" w:pos="1080"/>
          <w:tab w:val="left" w:pos="1440"/>
          <w:tab w:val="left" w:pos="1800"/>
          <w:tab w:val="left" w:pos="2160"/>
        </w:tabs>
        <w:autoSpaceDE/>
        <w:autoSpaceDN/>
        <w:adjustRightInd/>
        <w:spacing w:line="360" w:lineRule="exact"/>
        <w:rPr>
          <w:rFonts w:eastAsia="SimSun"/>
          <w:b/>
          <w:szCs w:val="22"/>
          <w:lang w:eastAsia="zh-CN"/>
        </w:rPr>
      </w:pPr>
    </w:p>
    <w:p w14:paraId="13D09737" w14:textId="77777777" w:rsidR="00635F8F" w:rsidRPr="008D7663" w:rsidRDefault="00635F8F" w:rsidP="00635F8F">
      <w:pPr>
        <w:widowControl w:val="0"/>
        <w:tabs>
          <w:tab w:val="left" w:pos="360"/>
          <w:tab w:val="left" w:pos="1080"/>
          <w:tab w:val="left" w:pos="1440"/>
          <w:tab w:val="left" w:pos="1800"/>
          <w:tab w:val="left" w:pos="2160"/>
        </w:tabs>
        <w:autoSpaceDE/>
        <w:autoSpaceDN/>
        <w:adjustRightInd/>
        <w:spacing w:line="360" w:lineRule="exact"/>
        <w:rPr>
          <w:rFonts w:eastAsia="SimSun"/>
          <w:szCs w:val="22"/>
          <w:lang w:eastAsia="zh-CN"/>
        </w:rPr>
      </w:pPr>
      <w:r w:rsidRPr="008D7663">
        <w:rPr>
          <w:rFonts w:eastAsia="SimSun"/>
          <w:szCs w:val="22"/>
          <w:lang w:eastAsia="zh-CN"/>
        </w:rPr>
        <w:t>…</w:t>
      </w:r>
    </w:p>
    <w:p w14:paraId="4445CD48" w14:textId="77777777" w:rsidR="00635F8F" w:rsidRPr="00E85CB1" w:rsidRDefault="00635F8F" w:rsidP="00635F8F">
      <w:pPr>
        <w:pStyle w:val="Chapter"/>
        <w:rPr>
          <w:sz w:val="24"/>
        </w:rPr>
      </w:pPr>
      <w:r>
        <w:t xml:space="preserve"> </w:t>
      </w:r>
      <w:r w:rsidRPr="00E85CB1">
        <w:rPr>
          <w:sz w:val="24"/>
        </w:rPr>
        <w:t>APPENDIX 6. TECHNICAL SPECIFICATIONS RELATED TO</w:t>
      </w:r>
    </w:p>
    <w:p w14:paraId="44E114C1" w14:textId="77777777" w:rsidR="00635F8F" w:rsidRDefault="00635F8F" w:rsidP="00635F8F">
      <w:pPr>
        <w:pStyle w:val="Chapter"/>
        <w:rPr>
          <w:sz w:val="24"/>
        </w:rPr>
      </w:pPr>
      <w:r w:rsidRPr="00E85CB1">
        <w:rPr>
          <w:sz w:val="24"/>
        </w:rPr>
        <w:lastRenderedPageBreak/>
        <w:t>SIGMET AND AIRMET INFORMATION, AERODROME WARNINGS AND WIND SHEAR WARNINGS AND ALERT</w:t>
      </w:r>
    </w:p>
    <w:p w14:paraId="09E6028A" w14:textId="77777777" w:rsidR="00635F8F" w:rsidRDefault="00635F8F" w:rsidP="00635F8F">
      <w:pPr>
        <w:rPr>
          <w:iCs/>
        </w:rPr>
      </w:pPr>
      <w:r>
        <w:rPr>
          <w:iCs/>
        </w:rPr>
        <w:t>…</w:t>
      </w:r>
    </w:p>
    <w:p w14:paraId="57FC141D" w14:textId="77777777" w:rsidR="00635F8F" w:rsidRDefault="00635F8F" w:rsidP="00635F8F">
      <w:pPr>
        <w:rPr>
          <w:iCs/>
        </w:rPr>
      </w:pPr>
    </w:p>
    <w:p w14:paraId="7C9C8E46" w14:textId="77777777" w:rsidR="00635F8F" w:rsidRDefault="00635F8F" w:rsidP="00635F8F">
      <w:pPr>
        <w:pStyle w:val="BoldCentered"/>
      </w:pPr>
      <w:r w:rsidRPr="000862BC">
        <w:t>4.2    Criteria related to phenomena included in</w:t>
      </w:r>
    </w:p>
    <w:p w14:paraId="1D0B094B" w14:textId="77777777" w:rsidR="00635F8F" w:rsidRPr="000862BC" w:rsidRDefault="00635F8F" w:rsidP="00635F8F">
      <w:pPr>
        <w:pStyle w:val="BoldCentered"/>
      </w:pPr>
      <w:r w:rsidRPr="000862BC">
        <w:t>SIGMET and AIRMET messages and special air-reports (uplink</w:t>
      </w:r>
    </w:p>
    <w:p w14:paraId="4B705172" w14:textId="77777777" w:rsidR="00635F8F" w:rsidRDefault="00635F8F" w:rsidP="00635F8F">
      <w:pPr>
        <w:rPr>
          <w:iCs/>
        </w:rPr>
      </w:pPr>
      <w:r>
        <w:rPr>
          <w:iCs/>
        </w:rPr>
        <w:t>…</w:t>
      </w:r>
    </w:p>
    <w:p w14:paraId="2EF15C08" w14:textId="77777777" w:rsidR="00635F8F" w:rsidRDefault="00635F8F" w:rsidP="00635F8F">
      <w:pPr>
        <w:rPr>
          <w:iCs/>
        </w:rPr>
      </w:pPr>
    </w:p>
    <w:p w14:paraId="5CA4E069" w14:textId="0B98FF56" w:rsidR="00635F8F" w:rsidRPr="00015CD2" w:rsidRDefault="00635F8F" w:rsidP="00635F8F">
      <w:pPr>
        <w:rPr>
          <w:sz w:val="20"/>
          <w:szCs w:val="20"/>
        </w:rPr>
      </w:pPr>
      <w:r w:rsidRPr="009C7289">
        <w:rPr>
          <w:sz w:val="20"/>
          <w:szCs w:val="20"/>
        </w:rPr>
        <w:t>4.2.6    </w:t>
      </w:r>
      <w:r w:rsidRPr="00015CD2">
        <w:rPr>
          <w:sz w:val="20"/>
          <w:szCs w:val="20"/>
        </w:rPr>
        <w:t>Turbulence shall be considered:</w:t>
      </w:r>
    </w:p>
    <w:p w14:paraId="3C420066" w14:textId="77777777" w:rsidR="00635F8F" w:rsidRPr="00015CD2" w:rsidRDefault="00635F8F" w:rsidP="00635F8F">
      <w:pPr>
        <w:rPr>
          <w:sz w:val="20"/>
          <w:szCs w:val="20"/>
        </w:rPr>
      </w:pPr>
    </w:p>
    <w:p w14:paraId="4B16243E" w14:textId="4A984F3C" w:rsidR="00635F8F" w:rsidRPr="00015CD2" w:rsidRDefault="00635F8F" w:rsidP="00635F8F">
      <w:pPr>
        <w:pStyle w:val="Indent-a"/>
      </w:pPr>
      <w:r w:rsidRPr="00015CD2">
        <w:tab/>
        <w:t>a)</w:t>
      </w:r>
      <w:r w:rsidRPr="00015CD2">
        <w:tab/>
        <w:t xml:space="preserve">severe whenever the peak value </w:t>
      </w:r>
      <w:r w:rsidRPr="0064389E">
        <w:rPr>
          <w:strike/>
          <w:color w:val="FF0000"/>
        </w:rPr>
        <w:t>of the cube root</w:t>
      </w:r>
      <w:r w:rsidRPr="00015CD2">
        <w:t xml:space="preserve"> of EDR </w:t>
      </w:r>
      <w:r w:rsidR="00AF2E03" w:rsidRPr="00015CD2">
        <w:rPr>
          <w:highlight w:val="lightGray"/>
        </w:rPr>
        <w:t xml:space="preserve">equals or </w:t>
      </w:r>
      <w:r w:rsidRPr="00015CD2">
        <w:t xml:space="preserve">exceeds </w:t>
      </w:r>
      <w:r w:rsidRPr="00015CD2">
        <w:rPr>
          <w:strike/>
          <w:color w:val="FF0000"/>
        </w:rPr>
        <w:t>0.7</w:t>
      </w:r>
      <w:r w:rsidRPr="00015CD2">
        <w:t xml:space="preserve"> </w:t>
      </w:r>
      <w:r w:rsidRPr="00015CD2">
        <w:rPr>
          <w:highlight w:val="lightGray"/>
        </w:rPr>
        <w:t>0.</w:t>
      </w:r>
      <w:r w:rsidRPr="00677197">
        <w:rPr>
          <w:highlight w:val="lightGray"/>
        </w:rPr>
        <w:t>4</w:t>
      </w:r>
      <w:r w:rsidR="00353B60" w:rsidRPr="00677197">
        <w:rPr>
          <w:highlight w:val="lightGray"/>
        </w:rPr>
        <w:t>5</w:t>
      </w:r>
      <w:r w:rsidRPr="00677197">
        <w:t>;</w:t>
      </w:r>
      <w:r w:rsidRPr="00015CD2">
        <w:t xml:space="preserve"> and</w:t>
      </w:r>
    </w:p>
    <w:p w14:paraId="2B793A89" w14:textId="77777777" w:rsidR="00635F8F" w:rsidRPr="00015CD2" w:rsidRDefault="00635F8F" w:rsidP="00635F8F">
      <w:pPr>
        <w:pStyle w:val="Indent-a"/>
      </w:pPr>
    </w:p>
    <w:p w14:paraId="64C775B4" w14:textId="50249A5F" w:rsidR="00635F8F" w:rsidRPr="009C7289" w:rsidRDefault="00635F8F" w:rsidP="00635F8F">
      <w:pPr>
        <w:pStyle w:val="Indent-a"/>
      </w:pPr>
      <w:r w:rsidRPr="00015CD2">
        <w:tab/>
        <w:t>b)</w:t>
      </w:r>
      <w:r w:rsidRPr="00015CD2">
        <w:tab/>
        <w:t xml:space="preserve">moderate whenever the peak value </w:t>
      </w:r>
      <w:r w:rsidRPr="0064389E">
        <w:rPr>
          <w:strike/>
          <w:color w:val="FF0000"/>
        </w:rPr>
        <w:t>of the cube root</w:t>
      </w:r>
      <w:r w:rsidRPr="00015CD2">
        <w:t xml:space="preserve"> of EDR is </w:t>
      </w:r>
      <w:r w:rsidR="00AF2E03" w:rsidRPr="0026533F">
        <w:rPr>
          <w:highlight w:val="lightGray"/>
        </w:rPr>
        <w:t>equal to or</w:t>
      </w:r>
      <w:r w:rsidR="00AF2E03">
        <w:t xml:space="preserve"> </w:t>
      </w:r>
      <w:r w:rsidRPr="00015CD2">
        <w:t xml:space="preserve">above </w:t>
      </w:r>
      <w:r w:rsidRPr="00015CD2">
        <w:rPr>
          <w:strike/>
          <w:color w:val="FF0000"/>
        </w:rPr>
        <w:t>0.4</w:t>
      </w:r>
      <w:r w:rsidRPr="00015CD2">
        <w:t xml:space="preserve"> </w:t>
      </w:r>
      <w:r w:rsidRPr="00015CD2">
        <w:rPr>
          <w:highlight w:val="lightGray"/>
        </w:rPr>
        <w:t>0.20</w:t>
      </w:r>
      <w:r w:rsidRPr="00015CD2">
        <w:t xml:space="preserve"> and below </w:t>
      </w:r>
      <w:r w:rsidRPr="00AF2E03">
        <w:rPr>
          <w:strike/>
          <w:color w:val="FF0000"/>
        </w:rPr>
        <w:t>or equal to</w:t>
      </w:r>
      <w:r w:rsidRPr="00015CD2">
        <w:t xml:space="preserve"> </w:t>
      </w:r>
      <w:r w:rsidRPr="00015CD2">
        <w:rPr>
          <w:strike/>
          <w:color w:val="FF0000"/>
        </w:rPr>
        <w:t>0.7</w:t>
      </w:r>
      <w:r w:rsidRPr="00015CD2">
        <w:t xml:space="preserve"> </w:t>
      </w:r>
      <w:r w:rsidRPr="00015CD2">
        <w:rPr>
          <w:highlight w:val="lightGray"/>
        </w:rPr>
        <w:t>0.</w:t>
      </w:r>
      <w:r w:rsidRPr="00677197">
        <w:rPr>
          <w:highlight w:val="lightGray"/>
        </w:rPr>
        <w:t>4</w:t>
      </w:r>
      <w:r w:rsidR="00353B60" w:rsidRPr="00677197">
        <w:rPr>
          <w:highlight w:val="lightGray"/>
        </w:rPr>
        <w:t>5</w:t>
      </w:r>
      <w:r w:rsidRPr="00677197">
        <w:t>.</w:t>
      </w:r>
      <w:r w:rsidRPr="00677197">
        <w:rPr>
          <w:i/>
        </w:rPr>
        <w:t xml:space="preserve"> </w:t>
      </w:r>
    </w:p>
    <w:p w14:paraId="52FB75B9" w14:textId="77777777" w:rsidR="00635F8F" w:rsidRPr="009C7289" w:rsidRDefault="00635F8F" w:rsidP="00635F8F">
      <w:pPr>
        <w:pStyle w:val="Indent-a"/>
      </w:pPr>
    </w:p>
    <w:p w14:paraId="13E0134D" w14:textId="77777777" w:rsidR="00635F8F" w:rsidRPr="009C7289" w:rsidRDefault="00635F8F" w:rsidP="00635F8F">
      <w:pPr>
        <w:rPr>
          <w:iCs/>
          <w:sz w:val="20"/>
          <w:szCs w:val="20"/>
        </w:rPr>
      </w:pPr>
    </w:p>
    <w:p w14:paraId="29B16DB3" w14:textId="77777777" w:rsidR="00635F8F" w:rsidRDefault="00635F8F" w:rsidP="00635F8F">
      <w:pPr>
        <w:rPr>
          <w:iCs/>
        </w:rPr>
      </w:pPr>
      <w:r>
        <w:rPr>
          <w:iCs/>
        </w:rPr>
        <w:t>…</w:t>
      </w:r>
    </w:p>
    <w:p w14:paraId="339472B0" w14:textId="5D700F8E" w:rsidR="009D35F8" w:rsidRDefault="009D35F8">
      <w:pPr>
        <w:autoSpaceDE/>
        <w:autoSpaceDN/>
        <w:adjustRightInd/>
        <w:jc w:val="left"/>
        <w:rPr>
          <w:bCs/>
          <w:caps/>
          <w:szCs w:val="22"/>
        </w:rPr>
      </w:pPr>
    </w:p>
    <w:p w14:paraId="276EB788" w14:textId="77777777" w:rsidR="00DD270C" w:rsidRDefault="00DD270C" w:rsidP="00DD270C">
      <w:pPr>
        <w:autoSpaceDE/>
        <w:autoSpaceDN/>
        <w:adjustRightInd/>
        <w:jc w:val="center"/>
        <w:rPr>
          <w:bCs/>
          <w:caps/>
          <w:szCs w:val="22"/>
        </w:rPr>
      </w:pPr>
    </w:p>
    <w:p w14:paraId="1FA5EF90" w14:textId="77777777" w:rsidR="00DD270C" w:rsidRDefault="00DD270C" w:rsidP="00DD270C">
      <w:pPr>
        <w:autoSpaceDE/>
        <w:autoSpaceDN/>
        <w:adjustRightInd/>
        <w:jc w:val="center"/>
        <w:rPr>
          <w:bCs/>
          <w:caps/>
          <w:szCs w:val="22"/>
        </w:rPr>
      </w:pPr>
    </w:p>
    <w:p w14:paraId="1DA842F4" w14:textId="5D83AD8D" w:rsidR="005E422A" w:rsidRPr="00613D91" w:rsidRDefault="005E422A" w:rsidP="00DD270C">
      <w:pPr>
        <w:autoSpaceDE/>
        <w:autoSpaceDN/>
        <w:adjustRightInd/>
        <w:jc w:val="center"/>
        <w:rPr>
          <w:bCs/>
          <w:caps/>
          <w:szCs w:val="22"/>
        </w:rPr>
      </w:pPr>
      <w:r w:rsidRPr="00613D91">
        <w:rPr>
          <w:bCs/>
          <w:caps/>
          <w:szCs w:val="22"/>
        </w:rPr>
        <w:t>— END —</w:t>
      </w:r>
    </w:p>
    <w:p w14:paraId="5B1D5A83" w14:textId="77777777" w:rsidR="00FE6475" w:rsidRDefault="00FE6475" w:rsidP="00461726"/>
    <w:sectPr w:rsidR="00FE6475" w:rsidSect="00C44823">
      <w:headerReference w:type="even" r:id="rId12"/>
      <w:headerReference w:type="default" r:id="rId13"/>
      <w:footerReference w:type="first" r:id="rId14"/>
      <w:footnotePr>
        <w:pos w:val="beneathText"/>
      </w:footnotePr>
      <w:pgSz w:w="12240" w:h="15840" w:code="9"/>
      <w:pgMar w:top="1008" w:right="1440" w:bottom="1008" w:left="1440" w:header="1008" w:footer="1008"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7231E" w14:textId="77777777" w:rsidR="00C22E79" w:rsidRDefault="00C22E79">
      <w:r>
        <w:separator/>
      </w:r>
    </w:p>
  </w:endnote>
  <w:endnote w:type="continuationSeparator" w:id="0">
    <w:p w14:paraId="6470985D" w14:textId="77777777" w:rsidR="00C22E79" w:rsidRDefault="00C2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9084" w14:textId="699D7345" w:rsidR="002A2A90" w:rsidRDefault="002A2A90" w:rsidP="00AF2B04">
    <w:pPr>
      <w:pStyle w:val="Footer"/>
      <w:tabs>
        <w:tab w:val="left" w:pos="720"/>
        <w:tab w:val="left" w:pos="1440"/>
        <w:tab w:val="left" w:pos="1800"/>
        <w:tab w:val="left" w:pos="2160"/>
        <w:tab w:val="left" w:pos="2520"/>
        <w:tab w:val="left" w:pos="2880"/>
      </w:tabs>
      <w:spacing w:before="160"/>
      <w:rPr>
        <w:sz w:val="18"/>
        <w:szCs w:val="18"/>
      </w:rPr>
    </w:pPr>
    <w:bookmarkStart w:id="27" w:name="total_pages"/>
    <w:r>
      <w:rPr>
        <w:sz w:val="18"/>
        <w:szCs w:val="18"/>
      </w:rPr>
      <w:t>(</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807F34">
      <w:rPr>
        <w:rStyle w:val="PageNumber"/>
        <w:noProof/>
        <w:sz w:val="18"/>
        <w:szCs w:val="18"/>
      </w:rPr>
      <w:t>6</w:t>
    </w:r>
    <w:r>
      <w:rPr>
        <w:rStyle w:val="PageNumber"/>
        <w:sz w:val="18"/>
        <w:szCs w:val="18"/>
      </w:rPr>
      <w:fldChar w:fldCharType="end"/>
    </w:r>
    <w:r>
      <w:rPr>
        <w:rStyle w:val="PageNumber"/>
        <w:sz w:val="18"/>
        <w:szCs w:val="18"/>
      </w:rPr>
      <w:t xml:space="preserve"> </w:t>
    </w:r>
    <w:r>
      <w:rPr>
        <w:sz w:val="18"/>
        <w:szCs w:val="18"/>
      </w:rPr>
      <w:t>pages)</w:t>
    </w:r>
    <w:bookmarkEnd w:id="27"/>
    <w:r>
      <w:rPr>
        <w:sz w:val="18"/>
        <w:szCs w:val="18"/>
      </w:rPr>
      <w:t xml:space="preserve"> </w:t>
    </w:r>
    <w:bookmarkStart w:id="28" w:name="brand_org_typist"/>
    <w:bookmarkEnd w:id="28"/>
  </w:p>
  <w:p w14:paraId="3DB7BD6B" w14:textId="4E93F5EB" w:rsidR="002A2A90" w:rsidRDefault="002A2A90" w:rsidP="00AF2B04">
    <w:pPr>
      <w:pStyle w:val="Footer"/>
      <w:tabs>
        <w:tab w:val="left" w:pos="720"/>
        <w:tab w:val="left" w:pos="1440"/>
        <w:tab w:val="left" w:pos="1800"/>
        <w:tab w:val="left" w:pos="2160"/>
        <w:tab w:val="left" w:pos="2520"/>
        <w:tab w:val="left" w:pos="2880"/>
      </w:tabs>
    </w:pPr>
    <w:bookmarkStart w:id="29" w:name="office_footer"/>
    <w:bookmarkEnd w:id="29"/>
    <w:r>
      <w:rPr>
        <w:sz w:val="18"/>
        <w:szCs w:val="18"/>
      </w:rPr>
      <w:t xml:space="preserve"> </w:t>
    </w:r>
    <w:bookmarkStart w:id="30" w:name="document_no_footer"/>
    <w:bookmarkStart w:id="31" w:name="text_footer"/>
    <w:bookmarkStart w:id="32" w:name="footer_filename"/>
    <w:bookmarkEnd w:id="30"/>
    <w:bookmarkEnd w:id="31"/>
    <w:r>
      <w:fldChar w:fldCharType="begin"/>
    </w:r>
    <w:r>
      <w:rPr>
        <w:sz w:val="18"/>
        <w:szCs w:val="18"/>
      </w:rPr>
      <w:instrText xml:space="preserve"> FILENAME </w:instrText>
    </w:r>
    <w:r>
      <w:fldChar w:fldCharType="separate"/>
    </w:r>
    <w:r>
      <w:rPr>
        <w:noProof/>
        <w:sz w:val="18"/>
        <w:szCs w:val="18"/>
      </w:rPr>
      <w:t>METP</w:t>
    </w:r>
    <w:r w:rsidR="00F9320E">
      <w:rPr>
        <w:noProof/>
        <w:sz w:val="18"/>
        <w:szCs w:val="18"/>
      </w:rPr>
      <w:t>/4</w:t>
    </w:r>
    <w:r w:rsidR="00A43425">
      <w:rPr>
        <w:noProof/>
        <w:sz w:val="18"/>
        <w:szCs w:val="18"/>
      </w:rPr>
      <w:t xml:space="preserve"> WP_Revised_EDR_values_to_Amend</w:t>
    </w:r>
    <w:r>
      <w:fldChar w:fldCharType="end"/>
    </w:r>
    <w:bookmarkEnd w:id="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AA764" w14:textId="77777777" w:rsidR="00C22E79" w:rsidRDefault="00C22E79">
      <w:r>
        <w:separator/>
      </w:r>
    </w:p>
  </w:footnote>
  <w:footnote w:type="continuationSeparator" w:id="0">
    <w:p w14:paraId="460CD8BC" w14:textId="77777777" w:rsidR="00C22E79" w:rsidRDefault="00C22E79">
      <w:r>
        <w:continuationSeparator/>
      </w:r>
    </w:p>
  </w:footnote>
  <w:footnote w:id="1">
    <w:p w14:paraId="6ACFEB08" w14:textId="30650853" w:rsidR="00155585" w:rsidRPr="00155585" w:rsidRDefault="00155585">
      <w:pPr>
        <w:pStyle w:val="FootnoteText"/>
        <w:rPr>
          <w:lang w:val="en-US"/>
        </w:rPr>
      </w:pPr>
      <w:r>
        <w:rPr>
          <w:rStyle w:val="FootnoteReference"/>
        </w:rPr>
        <w:footnoteRef/>
      </w:r>
      <w:r>
        <w:t xml:space="preserve"> The Block </w:t>
      </w:r>
      <w:proofErr w:type="gramStart"/>
      <w:r>
        <w:t>1 time</w:t>
      </w:r>
      <w:proofErr w:type="gramEnd"/>
      <w:r>
        <w:t xml:space="preserve"> frame referred to in METP/2 Decision 4/6 was 2018-2023, which was changed to 2019-2024 in the 5</w:t>
      </w:r>
      <w:r w:rsidRPr="00155585">
        <w:rPr>
          <w:vertAlign w:val="superscript"/>
        </w:rPr>
        <w:t>th</w:t>
      </w:r>
      <w:r>
        <w:t xml:space="preserve"> Edition of the Global Air Navigation Plan. </w:t>
      </w:r>
    </w:p>
  </w:footnote>
  <w:footnote w:id="2">
    <w:p w14:paraId="74F49D5C" w14:textId="4EA12633" w:rsidR="002A2A90" w:rsidRPr="00FC334E" w:rsidRDefault="002A2A90">
      <w:pPr>
        <w:pStyle w:val="FootnoteText"/>
        <w:rPr>
          <w:lang w:val="en-US"/>
        </w:rPr>
      </w:pPr>
      <w:r>
        <w:rPr>
          <w:rStyle w:val="FootnoteReference"/>
        </w:rPr>
        <w:footnoteRef/>
      </w:r>
      <w:r>
        <w:t xml:space="preserve"> Sharman, R.D., L. B. </w:t>
      </w:r>
      <w:proofErr w:type="spellStart"/>
      <w:r>
        <w:t>Cornman</w:t>
      </w:r>
      <w:proofErr w:type="spellEnd"/>
      <w:r>
        <w:t xml:space="preserve">, G. </w:t>
      </w:r>
      <w:proofErr w:type="spellStart"/>
      <w:r>
        <w:t>Meymaris</w:t>
      </w:r>
      <w:proofErr w:type="spellEnd"/>
      <w:r>
        <w:t xml:space="preserve">, J. Pearson, and T. Farrar, 2014: </w:t>
      </w:r>
      <w:r w:rsidRPr="00C1012C">
        <w:rPr>
          <w:i/>
        </w:rPr>
        <w:t>Description and derived climatologies of automated in situ eddy-dissipation-rate reports of atmospheric turbulence</w:t>
      </w:r>
      <w:r>
        <w:t xml:space="preserve">, </w:t>
      </w:r>
      <w:r>
        <w:rPr>
          <w:lang w:val="en-US"/>
        </w:rPr>
        <w:t>Journal of Applied Meteorology and Climatology, volume 53, pages 1416-1432.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3D055" w14:textId="1268AEAB" w:rsidR="002A2A90" w:rsidRDefault="002A2A90" w:rsidP="00DA52CB">
    <w:pPr>
      <w:pStyle w:val="Header"/>
      <w:framePr w:wrap="around" w:vAnchor="text" w:hAnchor="margin" w:xAlign="center" w:y="1"/>
      <w:rPr>
        <w:rStyle w:val="PageNumber"/>
      </w:rPr>
    </w:pPr>
    <w:r>
      <w:rPr>
        <w:rStyle w:val="PageNumber"/>
      </w:rPr>
      <w:fldChar w:fldCharType="begin"/>
    </w:r>
    <w:r w:rsidRPr="005945C7">
      <w:rPr>
        <w:rStyle w:val="PageNumber"/>
        <w:szCs w:val="22"/>
      </w:rPr>
      <w:instrText>PAGE</w:instrText>
    </w:r>
    <w:r>
      <w:rPr>
        <w:rStyle w:val="PageNumber"/>
      </w:rPr>
      <w:instrText xml:space="preserve">  </w:instrText>
    </w:r>
    <w:r>
      <w:rPr>
        <w:rStyle w:val="PageNumber"/>
      </w:rPr>
      <w:fldChar w:fldCharType="separate"/>
    </w:r>
    <w:r w:rsidR="00807F34">
      <w:rPr>
        <w:rStyle w:val="PageNumber"/>
        <w:noProof/>
        <w:szCs w:val="22"/>
      </w:rPr>
      <w:t>- 4 -</w:t>
    </w:r>
    <w:r>
      <w:rPr>
        <w:rStyle w:val="PageNumber"/>
      </w:rPr>
      <w:fldChar w:fldCharType="end"/>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44"/>
    </w:tblGrid>
    <w:tr w:rsidR="002A2A90" w14:paraId="4DE0C0EA" w14:textId="77777777">
      <w:tc>
        <w:tcPr>
          <w:tcW w:w="0" w:type="auto"/>
        </w:tcPr>
        <w:p w14:paraId="56EC194E" w14:textId="272C6256" w:rsidR="002A2A90" w:rsidRPr="005945C7" w:rsidRDefault="00F9320E" w:rsidP="005E422A">
          <w:pPr>
            <w:pStyle w:val="Header"/>
            <w:tabs>
              <w:tab w:val="left" w:pos="720"/>
              <w:tab w:val="left" w:pos="1440"/>
              <w:tab w:val="left" w:pos="1800"/>
              <w:tab w:val="left" w:pos="2160"/>
              <w:tab w:val="left" w:pos="2520"/>
              <w:tab w:val="left" w:pos="2880"/>
            </w:tabs>
            <w:rPr>
              <w:szCs w:val="22"/>
            </w:rPr>
          </w:pPr>
          <w:bookmarkStart w:id="22" w:name="document_no_header_even"/>
          <w:r>
            <w:rPr>
              <w:szCs w:val="22"/>
            </w:rPr>
            <w:t>METP/4</w:t>
          </w:r>
          <w:r w:rsidR="00A43425">
            <w:rPr>
              <w:szCs w:val="22"/>
            </w:rPr>
            <w:t xml:space="preserve"> -–WP/</w:t>
          </w:r>
          <w:bookmarkEnd w:id="22"/>
          <w:proofErr w:type="spellStart"/>
          <w:r w:rsidR="00A43425">
            <w:rPr>
              <w:szCs w:val="22"/>
            </w:rPr>
            <w:t>xxxx</w:t>
          </w:r>
          <w:proofErr w:type="spellEnd"/>
        </w:p>
        <w:p w14:paraId="3A93A9AA" w14:textId="77777777" w:rsidR="002A2A90" w:rsidRPr="00871292" w:rsidRDefault="002A2A90" w:rsidP="00FE6475">
          <w:pPr>
            <w:pStyle w:val="Header"/>
            <w:tabs>
              <w:tab w:val="left" w:pos="720"/>
              <w:tab w:val="left" w:pos="1440"/>
              <w:tab w:val="left" w:pos="1800"/>
              <w:tab w:val="left" w:pos="2160"/>
              <w:tab w:val="left" w:pos="2520"/>
              <w:tab w:val="left" w:pos="2880"/>
            </w:tabs>
            <w:rPr>
              <w:sz w:val="18"/>
              <w:szCs w:val="18"/>
            </w:rPr>
          </w:pPr>
          <w:bookmarkStart w:id="23" w:name="addendum_corrigendum_header_even"/>
          <w:bookmarkStart w:id="24" w:name="related_to_header_even"/>
          <w:bookmarkEnd w:id="23"/>
          <w:bookmarkEnd w:id="24"/>
        </w:p>
      </w:tc>
    </w:tr>
  </w:tbl>
  <w:p w14:paraId="4255A8E6" w14:textId="77777777" w:rsidR="002A2A90" w:rsidRPr="005945C7" w:rsidRDefault="002A2A90" w:rsidP="00D02F31">
    <w:pPr>
      <w:pStyle w:val="Header"/>
      <w:tabs>
        <w:tab w:val="left" w:pos="720"/>
        <w:tab w:val="left" w:pos="1440"/>
        <w:tab w:val="left" w:pos="1800"/>
        <w:tab w:val="left" w:pos="2160"/>
        <w:tab w:val="left" w:pos="2520"/>
        <w:tab w:val="left" w:pos="28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A2519" w14:textId="35D0A249" w:rsidR="002A2A90" w:rsidRPr="007307A8" w:rsidRDefault="002A2A90" w:rsidP="00DA52CB">
    <w:pPr>
      <w:pStyle w:val="Header"/>
      <w:framePr w:wrap="around" w:vAnchor="text" w:hAnchor="margin" w:xAlign="center" w:y="1"/>
      <w:rPr>
        <w:rStyle w:val="PageNumber"/>
        <w:szCs w:val="22"/>
      </w:rPr>
    </w:pPr>
    <w:r>
      <w:rPr>
        <w:rStyle w:val="PageNumber"/>
      </w:rPr>
      <w:fldChar w:fldCharType="begin"/>
    </w:r>
    <w:r w:rsidRPr="005945C7">
      <w:rPr>
        <w:rStyle w:val="PageNumber"/>
        <w:szCs w:val="22"/>
      </w:rPr>
      <w:instrText>PAGE</w:instrText>
    </w:r>
    <w:r>
      <w:rPr>
        <w:rStyle w:val="PageNumber"/>
      </w:rPr>
      <w:instrText xml:space="preserve">  </w:instrText>
    </w:r>
    <w:r>
      <w:rPr>
        <w:rStyle w:val="PageNumber"/>
      </w:rPr>
      <w:fldChar w:fldCharType="separate"/>
    </w:r>
    <w:r w:rsidR="00807F34">
      <w:rPr>
        <w:rStyle w:val="PageNumber"/>
        <w:noProof/>
        <w:szCs w:val="22"/>
      </w:rPr>
      <w:t>- 5 -</w:t>
    </w:r>
    <w:r>
      <w:rPr>
        <w:rStyle w:val="PageNumber"/>
      </w:rPr>
      <w:fldChar w:fldCharType="end"/>
    </w:r>
  </w:p>
  <w:tbl>
    <w:tblPr>
      <w:tblStyle w:val="TableGrid"/>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89"/>
    </w:tblGrid>
    <w:tr w:rsidR="002A2A90" w14:paraId="7C841A38" w14:textId="77777777">
      <w:trPr>
        <w:jc w:val="right"/>
      </w:trPr>
      <w:tc>
        <w:tcPr>
          <w:tcW w:w="0" w:type="auto"/>
        </w:tcPr>
        <w:p w14:paraId="366DF4A4" w14:textId="4BCEEB8E" w:rsidR="002A2A90" w:rsidRPr="005945C7" w:rsidRDefault="002A2A90" w:rsidP="00E649A9">
          <w:pPr>
            <w:pStyle w:val="Header"/>
            <w:tabs>
              <w:tab w:val="left" w:pos="720"/>
              <w:tab w:val="left" w:pos="1440"/>
              <w:tab w:val="left" w:pos="1800"/>
              <w:tab w:val="left" w:pos="2160"/>
              <w:tab w:val="left" w:pos="2520"/>
              <w:tab w:val="left" w:pos="2880"/>
            </w:tabs>
            <w:rPr>
              <w:szCs w:val="22"/>
            </w:rPr>
          </w:pPr>
          <w:r w:rsidRPr="00A67AA8">
            <w:rPr>
              <w:szCs w:val="22"/>
            </w:rPr>
            <w:t>METP</w:t>
          </w:r>
          <w:r w:rsidR="00F9320E">
            <w:rPr>
              <w:szCs w:val="22"/>
            </w:rPr>
            <w:t>/4</w:t>
          </w:r>
          <w:r w:rsidR="00A43425">
            <w:rPr>
              <w:szCs w:val="22"/>
            </w:rPr>
            <w:t xml:space="preserve"> - </w:t>
          </w:r>
          <w:r w:rsidR="005F24E6">
            <w:rPr>
              <w:szCs w:val="22"/>
            </w:rPr>
            <w:t>WP/</w:t>
          </w:r>
          <w:proofErr w:type="spellStart"/>
          <w:r w:rsidR="00A43425">
            <w:rPr>
              <w:szCs w:val="22"/>
            </w:rPr>
            <w:t>xxxx</w:t>
          </w:r>
          <w:proofErr w:type="spellEnd"/>
        </w:p>
        <w:p w14:paraId="334F1923" w14:textId="77777777" w:rsidR="002A2A90" w:rsidRPr="002B6E6F" w:rsidRDefault="002A2A90" w:rsidP="000A3BF2">
          <w:pPr>
            <w:rPr>
              <w:sz w:val="18"/>
              <w:szCs w:val="18"/>
            </w:rPr>
          </w:pPr>
          <w:bookmarkStart w:id="25" w:name="addendum_corrigendum_header_odd"/>
          <w:bookmarkStart w:id="26" w:name="related_to_header_odd"/>
          <w:bookmarkEnd w:id="25"/>
          <w:bookmarkEnd w:id="26"/>
        </w:p>
      </w:tc>
    </w:tr>
  </w:tbl>
  <w:p w14:paraId="72EED39F" w14:textId="77777777" w:rsidR="002A2A90" w:rsidRPr="007307A8" w:rsidRDefault="002A2A90" w:rsidP="005167F3">
    <w:pPr>
      <w:pStyle w:val="Header"/>
      <w:tabs>
        <w:tab w:val="center" w:pos="720"/>
        <w:tab w:val="center" w:pos="1440"/>
        <w:tab w:val="center" w:pos="1800"/>
        <w:tab w:val="center" w:pos="2160"/>
        <w:tab w:val="center" w:pos="2520"/>
        <w:tab w:val="center" w:pos="2880"/>
      </w:tabs>
      <w:ind w:left="7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Roman"/>
      <w:lvlText w:val="%1)"/>
      <w:lvlJc w:val="left"/>
      <w:pPr>
        <w:tabs>
          <w:tab w:val="num" w:pos="720"/>
        </w:tabs>
        <w:ind w:left="720" w:hanging="360"/>
      </w:pPr>
    </w:lvl>
  </w:abstractNum>
  <w:abstractNum w:abstractNumId="1" w15:restartNumberingAfterBreak="0">
    <w:nsid w:val="00000002"/>
    <w:multiLevelType w:val="singleLevel"/>
    <w:tmpl w:val="705C09FA"/>
    <w:lvl w:ilvl="0">
      <w:start w:val="1"/>
      <w:numFmt w:val="decimal"/>
      <w:lvlText w:val="%1)"/>
      <w:lvlJc w:val="left"/>
      <w:pPr>
        <w:tabs>
          <w:tab w:val="num" w:pos="2160"/>
        </w:tabs>
      </w:pPr>
      <w:rPr>
        <w:rFonts w:ascii="Times New Roman" w:hAnsi="Times New Roman" w:cs="Times New Roman"/>
        <w:sz w:val="22"/>
        <w:szCs w:val="22"/>
      </w:rPr>
    </w:lvl>
  </w:abstractNum>
  <w:abstractNum w:abstractNumId="2" w15:restartNumberingAfterBreak="0">
    <w:nsid w:val="00000003"/>
    <w:multiLevelType w:val="singleLevel"/>
    <w:tmpl w:val="00000003"/>
    <w:name w:val="WW8Num3"/>
    <w:lvl w:ilvl="0">
      <w:start w:val="1"/>
      <w:numFmt w:val="lowerRoman"/>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lowerRoman"/>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lowerRoman"/>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lowerRoman"/>
      <w:lvlText w:val="%1)"/>
      <w:lvlJc w:val="left"/>
      <w:pPr>
        <w:tabs>
          <w:tab w:val="num" w:pos="720"/>
        </w:tabs>
        <w:ind w:left="720" w:hanging="360"/>
      </w:pPr>
    </w:lvl>
  </w:abstractNum>
  <w:abstractNum w:abstractNumId="6" w15:restartNumberingAfterBreak="0">
    <w:nsid w:val="00000008"/>
    <w:multiLevelType w:val="singleLevel"/>
    <w:tmpl w:val="00000008"/>
    <w:name w:val="WW8Num8"/>
    <w:lvl w:ilvl="0">
      <w:start w:val="1"/>
      <w:numFmt w:val="lowerRoman"/>
      <w:lvlText w:val="%1)"/>
      <w:lvlJc w:val="left"/>
      <w:pPr>
        <w:tabs>
          <w:tab w:val="num" w:pos="720"/>
        </w:tabs>
        <w:ind w:left="720" w:hanging="360"/>
      </w:pPr>
    </w:lvl>
  </w:abstractNum>
  <w:abstractNum w:abstractNumId="7" w15:restartNumberingAfterBreak="0">
    <w:nsid w:val="0000000A"/>
    <w:multiLevelType w:val="singleLevel"/>
    <w:tmpl w:val="0000000A"/>
    <w:name w:val="WW8Num10"/>
    <w:lvl w:ilvl="0">
      <w:start w:val="1"/>
      <w:numFmt w:val="lowerRoman"/>
      <w:lvlText w:val="%1)"/>
      <w:lvlJc w:val="left"/>
      <w:pPr>
        <w:tabs>
          <w:tab w:val="num" w:pos="720"/>
        </w:tabs>
        <w:ind w:left="720" w:hanging="360"/>
      </w:pPr>
    </w:lvl>
  </w:abstractNum>
  <w:abstractNum w:abstractNumId="8" w15:restartNumberingAfterBreak="0">
    <w:nsid w:val="0000000B"/>
    <w:multiLevelType w:val="singleLevel"/>
    <w:tmpl w:val="0000000B"/>
    <w:name w:val="WW8Num11"/>
    <w:lvl w:ilvl="0">
      <w:start w:val="1"/>
      <w:numFmt w:val="lowerRoman"/>
      <w:lvlText w:val="%1)"/>
      <w:lvlJc w:val="left"/>
      <w:pPr>
        <w:tabs>
          <w:tab w:val="num" w:pos="720"/>
        </w:tabs>
        <w:ind w:left="720" w:hanging="360"/>
      </w:pPr>
    </w:lvl>
  </w:abstractNum>
  <w:abstractNum w:abstractNumId="9" w15:restartNumberingAfterBreak="0">
    <w:nsid w:val="0000000C"/>
    <w:multiLevelType w:val="singleLevel"/>
    <w:tmpl w:val="0000000C"/>
    <w:name w:val="WW8Num12"/>
    <w:lvl w:ilvl="0">
      <w:start w:val="1"/>
      <w:numFmt w:val="lowerRoman"/>
      <w:lvlText w:val="%1)"/>
      <w:lvlJc w:val="left"/>
      <w:pPr>
        <w:tabs>
          <w:tab w:val="num" w:pos="720"/>
        </w:tabs>
        <w:ind w:left="720" w:hanging="360"/>
      </w:pPr>
    </w:lvl>
  </w:abstractNum>
  <w:abstractNum w:abstractNumId="10" w15:restartNumberingAfterBreak="0">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11" w15:restartNumberingAfterBreak="0">
    <w:nsid w:val="0CB936FA"/>
    <w:multiLevelType w:val="multilevel"/>
    <w:tmpl w:val="88221286"/>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pStyle w:val="Heading3"/>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12" w15:restartNumberingAfterBreak="0">
    <w:nsid w:val="11C84D8F"/>
    <w:multiLevelType w:val="hybridMultilevel"/>
    <w:tmpl w:val="5C603B9C"/>
    <w:lvl w:ilvl="0" w:tplc="5B2AB53C">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4FD7560"/>
    <w:multiLevelType w:val="hybridMultilevel"/>
    <w:tmpl w:val="4358F528"/>
    <w:lvl w:ilvl="0" w:tplc="E4BA57C6">
      <w:start w:val="1"/>
      <w:numFmt w:val="lowerLetter"/>
      <w:pStyle w:val="ListExSum"/>
      <w:lvlText w:val="%1)"/>
      <w:lvlJc w:val="left"/>
      <w:pPr>
        <w:tabs>
          <w:tab w:val="num" w:pos="0"/>
        </w:tabs>
        <w:ind w:left="360" w:hanging="360"/>
      </w:pPr>
      <w:rPr>
        <w:rFonts w:hint="default"/>
      </w:rPr>
    </w:lvl>
    <w:lvl w:ilvl="1" w:tplc="CBA4FD22" w:tentative="1">
      <w:start w:val="1"/>
      <w:numFmt w:val="lowerLetter"/>
      <w:lvlText w:val="%2."/>
      <w:lvlJc w:val="left"/>
      <w:pPr>
        <w:tabs>
          <w:tab w:val="num" w:pos="1440"/>
        </w:tabs>
        <w:ind w:left="1440" w:hanging="360"/>
      </w:pPr>
    </w:lvl>
    <w:lvl w:ilvl="2" w:tplc="865602F6" w:tentative="1">
      <w:start w:val="1"/>
      <w:numFmt w:val="lowerRoman"/>
      <w:lvlText w:val="%3."/>
      <w:lvlJc w:val="right"/>
      <w:pPr>
        <w:tabs>
          <w:tab w:val="num" w:pos="2160"/>
        </w:tabs>
        <w:ind w:left="2160" w:hanging="180"/>
      </w:pPr>
    </w:lvl>
    <w:lvl w:ilvl="3" w:tplc="FF1ED88C" w:tentative="1">
      <w:start w:val="1"/>
      <w:numFmt w:val="decimal"/>
      <w:lvlText w:val="%4."/>
      <w:lvlJc w:val="left"/>
      <w:pPr>
        <w:tabs>
          <w:tab w:val="num" w:pos="2880"/>
        </w:tabs>
        <w:ind w:left="2880" w:hanging="360"/>
      </w:pPr>
    </w:lvl>
    <w:lvl w:ilvl="4" w:tplc="EDAEDBEE" w:tentative="1">
      <w:start w:val="1"/>
      <w:numFmt w:val="lowerLetter"/>
      <w:lvlText w:val="%5."/>
      <w:lvlJc w:val="left"/>
      <w:pPr>
        <w:tabs>
          <w:tab w:val="num" w:pos="3600"/>
        </w:tabs>
        <w:ind w:left="3600" w:hanging="360"/>
      </w:pPr>
    </w:lvl>
    <w:lvl w:ilvl="5" w:tplc="D12C35B2" w:tentative="1">
      <w:start w:val="1"/>
      <w:numFmt w:val="lowerRoman"/>
      <w:lvlText w:val="%6."/>
      <w:lvlJc w:val="right"/>
      <w:pPr>
        <w:tabs>
          <w:tab w:val="num" w:pos="4320"/>
        </w:tabs>
        <w:ind w:left="4320" w:hanging="180"/>
      </w:pPr>
    </w:lvl>
    <w:lvl w:ilvl="6" w:tplc="4B9E57E2" w:tentative="1">
      <w:start w:val="1"/>
      <w:numFmt w:val="decimal"/>
      <w:lvlText w:val="%7."/>
      <w:lvlJc w:val="left"/>
      <w:pPr>
        <w:tabs>
          <w:tab w:val="num" w:pos="5040"/>
        </w:tabs>
        <w:ind w:left="5040" w:hanging="360"/>
      </w:pPr>
    </w:lvl>
    <w:lvl w:ilvl="7" w:tplc="D464AD5A" w:tentative="1">
      <w:start w:val="1"/>
      <w:numFmt w:val="lowerLetter"/>
      <w:lvlText w:val="%8."/>
      <w:lvlJc w:val="left"/>
      <w:pPr>
        <w:tabs>
          <w:tab w:val="num" w:pos="5760"/>
        </w:tabs>
        <w:ind w:left="5760" w:hanging="360"/>
      </w:pPr>
    </w:lvl>
    <w:lvl w:ilvl="8" w:tplc="F16EB046" w:tentative="1">
      <w:start w:val="1"/>
      <w:numFmt w:val="lowerRoman"/>
      <w:lvlText w:val="%9."/>
      <w:lvlJc w:val="right"/>
      <w:pPr>
        <w:tabs>
          <w:tab w:val="num" w:pos="6480"/>
        </w:tabs>
        <w:ind w:left="6480" w:hanging="180"/>
      </w:pPr>
    </w:lvl>
  </w:abstractNum>
  <w:abstractNum w:abstractNumId="14" w15:restartNumberingAfterBreak="0">
    <w:nsid w:val="178B576D"/>
    <w:multiLevelType w:val="hybridMultilevel"/>
    <w:tmpl w:val="85F0F2B0"/>
    <w:lvl w:ilvl="0" w:tplc="11C4D722">
      <w:start w:val="1"/>
      <w:numFmt w:val="lowerRoman"/>
      <w:lvlText w:val="%1)"/>
      <w:lvlJc w:val="left"/>
      <w:pPr>
        <w:tabs>
          <w:tab w:val="num" w:pos="720"/>
        </w:tabs>
        <w:ind w:left="720" w:hanging="360"/>
      </w:pPr>
    </w:lvl>
    <w:lvl w:ilvl="1" w:tplc="CF72E362" w:tentative="1">
      <w:start w:val="1"/>
      <w:numFmt w:val="lowerLetter"/>
      <w:lvlText w:val="%2."/>
      <w:lvlJc w:val="left"/>
      <w:pPr>
        <w:tabs>
          <w:tab w:val="num" w:pos="1440"/>
        </w:tabs>
        <w:ind w:left="1440" w:hanging="360"/>
      </w:pPr>
    </w:lvl>
    <w:lvl w:ilvl="2" w:tplc="D77A0E72" w:tentative="1">
      <w:start w:val="1"/>
      <w:numFmt w:val="lowerRoman"/>
      <w:lvlText w:val="%3."/>
      <w:lvlJc w:val="right"/>
      <w:pPr>
        <w:tabs>
          <w:tab w:val="num" w:pos="2160"/>
        </w:tabs>
        <w:ind w:left="2160" w:hanging="180"/>
      </w:pPr>
    </w:lvl>
    <w:lvl w:ilvl="3" w:tplc="8EBC64B8" w:tentative="1">
      <w:start w:val="1"/>
      <w:numFmt w:val="decimal"/>
      <w:lvlText w:val="%4."/>
      <w:lvlJc w:val="left"/>
      <w:pPr>
        <w:tabs>
          <w:tab w:val="num" w:pos="2880"/>
        </w:tabs>
        <w:ind w:left="2880" w:hanging="360"/>
      </w:pPr>
    </w:lvl>
    <w:lvl w:ilvl="4" w:tplc="727EEC60" w:tentative="1">
      <w:start w:val="1"/>
      <w:numFmt w:val="lowerLetter"/>
      <w:lvlText w:val="%5."/>
      <w:lvlJc w:val="left"/>
      <w:pPr>
        <w:tabs>
          <w:tab w:val="num" w:pos="3600"/>
        </w:tabs>
        <w:ind w:left="3600" w:hanging="360"/>
      </w:pPr>
    </w:lvl>
    <w:lvl w:ilvl="5" w:tplc="BA1C42BE" w:tentative="1">
      <w:start w:val="1"/>
      <w:numFmt w:val="lowerRoman"/>
      <w:lvlText w:val="%6."/>
      <w:lvlJc w:val="right"/>
      <w:pPr>
        <w:tabs>
          <w:tab w:val="num" w:pos="4320"/>
        </w:tabs>
        <w:ind w:left="4320" w:hanging="180"/>
      </w:pPr>
    </w:lvl>
    <w:lvl w:ilvl="6" w:tplc="CD7234C4" w:tentative="1">
      <w:start w:val="1"/>
      <w:numFmt w:val="decimal"/>
      <w:lvlText w:val="%7."/>
      <w:lvlJc w:val="left"/>
      <w:pPr>
        <w:tabs>
          <w:tab w:val="num" w:pos="5040"/>
        </w:tabs>
        <w:ind w:left="5040" w:hanging="360"/>
      </w:pPr>
    </w:lvl>
    <w:lvl w:ilvl="7" w:tplc="A44C910E" w:tentative="1">
      <w:start w:val="1"/>
      <w:numFmt w:val="lowerLetter"/>
      <w:lvlText w:val="%8."/>
      <w:lvlJc w:val="left"/>
      <w:pPr>
        <w:tabs>
          <w:tab w:val="num" w:pos="5760"/>
        </w:tabs>
        <w:ind w:left="5760" w:hanging="360"/>
      </w:pPr>
    </w:lvl>
    <w:lvl w:ilvl="8" w:tplc="2A485AC4" w:tentative="1">
      <w:start w:val="1"/>
      <w:numFmt w:val="lowerRoman"/>
      <w:lvlText w:val="%9."/>
      <w:lvlJc w:val="right"/>
      <w:pPr>
        <w:tabs>
          <w:tab w:val="num" w:pos="6480"/>
        </w:tabs>
        <w:ind w:left="6480" w:hanging="180"/>
      </w:pPr>
    </w:lvl>
  </w:abstractNum>
  <w:abstractNum w:abstractNumId="15" w15:restartNumberingAfterBreak="0">
    <w:nsid w:val="26543108"/>
    <w:multiLevelType w:val="hybridMultilevel"/>
    <w:tmpl w:val="8DBE59EC"/>
    <w:lvl w:ilvl="0" w:tplc="0000000C">
      <w:start w:val="1"/>
      <w:numFmt w:val="lowerRoman"/>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E6F1E41"/>
    <w:multiLevelType w:val="hybridMultilevel"/>
    <w:tmpl w:val="273A4E28"/>
    <w:lvl w:ilvl="0" w:tplc="B478CDAA">
      <w:start w:val="1"/>
      <w:numFmt w:val="lowerLetter"/>
      <w:lvlText w:val="%1)"/>
      <w:lvlJc w:val="left"/>
      <w:pPr>
        <w:ind w:left="360" w:hanging="360"/>
      </w:pPr>
      <w:rPr>
        <w:rFonts w:hint="default"/>
        <w:shd w:val="pct15" w:color="auto" w:fill="FFFFF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1B6AF8"/>
    <w:multiLevelType w:val="multilevel"/>
    <w:tmpl w:val="EB641672"/>
    <w:lvl w:ilvl="0">
      <w:start w:val="1"/>
      <w:numFmt w:val="decimal"/>
      <w:pStyle w:val="Heading1"/>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18" w15:restartNumberingAfterBreak="0">
    <w:nsid w:val="44761F64"/>
    <w:multiLevelType w:val="hybridMultilevel"/>
    <w:tmpl w:val="110AEB04"/>
    <w:lvl w:ilvl="0" w:tplc="8FA2A986">
      <w:start w:val="1"/>
      <w:numFmt w:val="decimal"/>
      <w:pStyle w:val="1Para"/>
      <w:lvlText w:val="%1."/>
      <w:lvlJc w:val="left"/>
      <w:pPr>
        <w:tabs>
          <w:tab w:val="num" w:pos="1440"/>
        </w:tabs>
        <w:ind w:left="0" w:firstLine="0"/>
      </w:pPr>
      <w:rPr>
        <w:rFonts w:ascii="Times New Roman" w:hAnsi="Times New Roman" w:cs="Times New Roman"/>
        <w:b w:val="0"/>
        <w:sz w:val="22"/>
      </w:rPr>
    </w:lvl>
    <w:lvl w:ilvl="1" w:tplc="FC0C179A" w:tentative="1">
      <w:start w:val="1"/>
      <w:numFmt w:val="lowerLetter"/>
      <w:lvlText w:val="%2."/>
      <w:lvlJc w:val="left"/>
      <w:pPr>
        <w:ind w:left="1440" w:hanging="360"/>
      </w:pPr>
    </w:lvl>
    <w:lvl w:ilvl="2" w:tplc="DD8AB138" w:tentative="1">
      <w:start w:val="1"/>
      <w:numFmt w:val="lowerRoman"/>
      <w:lvlText w:val="%3."/>
      <w:lvlJc w:val="right"/>
      <w:pPr>
        <w:ind w:left="2160" w:hanging="180"/>
      </w:pPr>
    </w:lvl>
    <w:lvl w:ilvl="3" w:tplc="31FCF46C" w:tentative="1">
      <w:start w:val="1"/>
      <w:numFmt w:val="decimal"/>
      <w:lvlText w:val="%4."/>
      <w:lvlJc w:val="left"/>
      <w:pPr>
        <w:ind w:left="2880" w:hanging="360"/>
      </w:pPr>
    </w:lvl>
    <w:lvl w:ilvl="4" w:tplc="71CE5DDE" w:tentative="1">
      <w:start w:val="1"/>
      <w:numFmt w:val="lowerLetter"/>
      <w:lvlText w:val="%5."/>
      <w:lvlJc w:val="left"/>
      <w:pPr>
        <w:ind w:left="3600" w:hanging="360"/>
      </w:pPr>
    </w:lvl>
    <w:lvl w:ilvl="5" w:tplc="6A888366" w:tentative="1">
      <w:start w:val="1"/>
      <w:numFmt w:val="lowerRoman"/>
      <w:lvlText w:val="%6."/>
      <w:lvlJc w:val="right"/>
      <w:pPr>
        <w:ind w:left="4320" w:hanging="180"/>
      </w:pPr>
    </w:lvl>
    <w:lvl w:ilvl="6" w:tplc="50D8D698" w:tentative="1">
      <w:start w:val="1"/>
      <w:numFmt w:val="decimal"/>
      <w:lvlText w:val="%7."/>
      <w:lvlJc w:val="left"/>
      <w:pPr>
        <w:ind w:left="5040" w:hanging="360"/>
      </w:pPr>
    </w:lvl>
    <w:lvl w:ilvl="7" w:tplc="031A6840" w:tentative="1">
      <w:start w:val="1"/>
      <w:numFmt w:val="lowerLetter"/>
      <w:lvlText w:val="%8."/>
      <w:lvlJc w:val="left"/>
      <w:pPr>
        <w:ind w:left="5760" w:hanging="360"/>
      </w:pPr>
    </w:lvl>
    <w:lvl w:ilvl="8" w:tplc="D562C7A0" w:tentative="1">
      <w:start w:val="1"/>
      <w:numFmt w:val="lowerRoman"/>
      <w:lvlText w:val="%9."/>
      <w:lvlJc w:val="right"/>
      <w:pPr>
        <w:ind w:left="6480" w:hanging="180"/>
      </w:pPr>
    </w:lvl>
  </w:abstractNum>
  <w:abstractNum w:abstractNumId="19" w15:restartNumberingAfterBreak="0">
    <w:nsid w:val="46DF12DC"/>
    <w:multiLevelType w:val="multilevel"/>
    <w:tmpl w:val="5BFE9FDA"/>
    <w:lvl w:ilvl="0">
      <w:start w:val="1"/>
      <w:numFmt w:val="lowerLetter"/>
      <w:pStyle w:val="Listabc"/>
      <w:lvlText w:val="%1)"/>
      <w:lvlJc w:val="left"/>
      <w:pPr>
        <w:tabs>
          <w:tab w:val="num" w:pos="1440"/>
        </w:tabs>
        <w:ind w:left="1800" w:hanging="360"/>
      </w:pPr>
      <w:rPr>
        <w:rFonts w:hint="default"/>
        <w:b w:val="0"/>
        <w:i w:val="0"/>
        <w:sz w:val="22"/>
        <w:szCs w:val="22"/>
      </w:rPr>
    </w:lvl>
    <w:lvl w:ilvl="1">
      <w:start w:val="1"/>
      <w:numFmt w:val="decimal"/>
      <w:pStyle w:val="List123"/>
      <w:lvlText w:val="%2)"/>
      <w:lvlJc w:val="left"/>
      <w:pPr>
        <w:tabs>
          <w:tab w:val="num" w:pos="1800"/>
        </w:tabs>
        <w:ind w:left="2160" w:hanging="360"/>
      </w:pPr>
    </w:lvl>
    <w:lvl w:ilvl="2">
      <w:start w:val="1"/>
      <w:numFmt w:val="bullet"/>
      <w:pStyle w:val="List-"/>
      <w:lvlText w:val="—"/>
      <w:lvlJc w:val="left"/>
      <w:pPr>
        <w:tabs>
          <w:tab w:val="num" w:pos="2160"/>
        </w:tabs>
        <w:ind w:left="2520" w:hanging="36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DD40C8A"/>
    <w:multiLevelType w:val="hybridMultilevel"/>
    <w:tmpl w:val="48066200"/>
    <w:lvl w:ilvl="0" w:tplc="4A10B9B2">
      <w:start w:val="1"/>
      <w:numFmt w:val="decimal"/>
      <w:pStyle w:val="ListV"/>
      <w:lvlText w:val="%1."/>
      <w:lvlJc w:val="left"/>
      <w:pPr>
        <w:tabs>
          <w:tab w:val="num" w:pos="360"/>
        </w:tabs>
        <w:ind w:left="360" w:hanging="360"/>
      </w:pPr>
      <w:rPr>
        <w:rFonts w:ascii="Times New Roman" w:hAnsi="Times New Roman" w:cs="Times New Roman"/>
        <w:b w:val="0"/>
        <w:sz w:val="22"/>
      </w:rPr>
    </w:lvl>
    <w:lvl w:ilvl="1" w:tplc="91225428" w:tentative="1">
      <w:start w:val="1"/>
      <w:numFmt w:val="lowerLetter"/>
      <w:lvlText w:val="%2."/>
      <w:lvlJc w:val="left"/>
      <w:pPr>
        <w:tabs>
          <w:tab w:val="num" w:pos="1440"/>
        </w:tabs>
        <w:ind w:left="1440" w:hanging="360"/>
      </w:pPr>
    </w:lvl>
    <w:lvl w:ilvl="2" w:tplc="07AA4EBE" w:tentative="1">
      <w:start w:val="1"/>
      <w:numFmt w:val="lowerRoman"/>
      <w:lvlText w:val="%3."/>
      <w:lvlJc w:val="right"/>
      <w:pPr>
        <w:tabs>
          <w:tab w:val="num" w:pos="2160"/>
        </w:tabs>
        <w:ind w:left="2160" w:hanging="180"/>
      </w:pPr>
    </w:lvl>
    <w:lvl w:ilvl="3" w:tplc="2B407D64" w:tentative="1">
      <w:start w:val="1"/>
      <w:numFmt w:val="decimal"/>
      <w:lvlText w:val="%4."/>
      <w:lvlJc w:val="left"/>
      <w:pPr>
        <w:tabs>
          <w:tab w:val="num" w:pos="2880"/>
        </w:tabs>
        <w:ind w:left="2880" w:hanging="360"/>
      </w:pPr>
    </w:lvl>
    <w:lvl w:ilvl="4" w:tplc="CB2CDB2E" w:tentative="1">
      <w:start w:val="1"/>
      <w:numFmt w:val="lowerLetter"/>
      <w:lvlText w:val="%5."/>
      <w:lvlJc w:val="left"/>
      <w:pPr>
        <w:tabs>
          <w:tab w:val="num" w:pos="3600"/>
        </w:tabs>
        <w:ind w:left="3600" w:hanging="360"/>
      </w:pPr>
    </w:lvl>
    <w:lvl w:ilvl="5" w:tplc="0D70007A" w:tentative="1">
      <w:start w:val="1"/>
      <w:numFmt w:val="lowerRoman"/>
      <w:lvlText w:val="%6."/>
      <w:lvlJc w:val="right"/>
      <w:pPr>
        <w:tabs>
          <w:tab w:val="num" w:pos="4320"/>
        </w:tabs>
        <w:ind w:left="4320" w:hanging="180"/>
      </w:pPr>
    </w:lvl>
    <w:lvl w:ilvl="6" w:tplc="BE88D7D2" w:tentative="1">
      <w:start w:val="1"/>
      <w:numFmt w:val="decimal"/>
      <w:lvlText w:val="%7."/>
      <w:lvlJc w:val="left"/>
      <w:pPr>
        <w:tabs>
          <w:tab w:val="num" w:pos="5040"/>
        </w:tabs>
        <w:ind w:left="5040" w:hanging="360"/>
      </w:pPr>
    </w:lvl>
    <w:lvl w:ilvl="7" w:tplc="489E5686" w:tentative="1">
      <w:start w:val="1"/>
      <w:numFmt w:val="lowerLetter"/>
      <w:lvlText w:val="%8."/>
      <w:lvlJc w:val="left"/>
      <w:pPr>
        <w:tabs>
          <w:tab w:val="num" w:pos="5760"/>
        </w:tabs>
        <w:ind w:left="5760" w:hanging="360"/>
      </w:pPr>
    </w:lvl>
    <w:lvl w:ilvl="8" w:tplc="BFC8E966" w:tentative="1">
      <w:start w:val="1"/>
      <w:numFmt w:val="lowerRoman"/>
      <w:lvlText w:val="%9."/>
      <w:lvlJc w:val="right"/>
      <w:pPr>
        <w:tabs>
          <w:tab w:val="num" w:pos="6480"/>
        </w:tabs>
        <w:ind w:left="6480" w:hanging="180"/>
      </w:pPr>
    </w:lvl>
  </w:abstractNum>
  <w:abstractNum w:abstractNumId="21" w15:restartNumberingAfterBreak="0">
    <w:nsid w:val="52747EEF"/>
    <w:multiLevelType w:val="multilevel"/>
    <w:tmpl w:val="EE0CE7A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22" w15:restartNumberingAfterBreak="0">
    <w:nsid w:val="52D61F50"/>
    <w:multiLevelType w:val="multilevel"/>
    <w:tmpl w:val="C900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FD0C01"/>
    <w:multiLevelType w:val="hybridMultilevel"/>
    <w:tmpl w:val="3DB26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8B2FA9"/>
    <w:multiLevelType w:val="hybridMultilevel"/>
    <w:tmpl w:val="ED8809A8"/>
    <w:lvl w:ilvl="0" w:tplc="32E295AC">
      <w:start w:val="1"/>
      <w:numFmt w:val="bullet"/>
      <w:lvlRestart w:val="0"/>
      <w:pStyle w:val="RefPrincipal"/>
      <w:lvlText w:val=""/>
      <w:lvlJc w:val="left"/>
      <w:pPr>
        <w:tabs>
          <w:tab w:val="num" w:pos="115"/>
        </w:tabs>
        <w:ind w:left="331" w:hanging="331"/>
      </w:pPr>
      <w:rPr>
        <w:rFonts w:ascii="Symbol" w:hAnsi="Symbol" w:hint="default"/>
      </w:rPr>
    </w:lvl>
    <w:lvl w:ilvl="1" w:tplc="612E8F54" w:tentative="1">
      <w:start w:val="1"/>
      <w:numFmt w:val="bullet"/>
      <w:lvlText w:val="o"/>
      <w:lvlJc w:val="left"/>
      <w:pPr>
        <w:tabs>
          <w:tab w:val="num" w:pos="1440"/>
        </w:tabs>
        <w:ind w:left="1440" w:hanging="360"/>
      </w:pPr>
      <w:rPr>
        <w:rFonts w:ascii="Courier New" w:hAnsi="Courier New" w:cs="Courier New" w:hint="default"/>
      </w:rPr>
    </w:lvl>
    <w:lvl w:ilvl="2" w:tplc="105CF5C8" w:tentative="1">
      <w:start w:val="1"/>
      <w:numFmt w:val="bullet"/>
      <w:lvlText w:val=""/>
      <w:lvlJc w:val="left"/>
      <w:pPr>
        <w:tabs>
          <w:tab w:val="num" w:pos="2160"/>
        </w:tabs>
        <w:ind w:left="2160" w:hanging="360"/>
      </w:pPr>
      <w:rPr>
        <w:rFonts w:ascii="Wingdings" w:hAnsi="Wingdings" w:hint="default"/>
      </w:rPr>
    </w:lvl>
    <w:lvl w:ilvl="3" w:tplc="9698EC80" w:tentative="1">
      <w:start w:val="1"/>
      <w:numFmt w:val="bullet"/>
      <w:lvlText w:val=""/>
      <w:lvlJc w:val="left"/>
      <w:pPr>
        <w:tabs>
          <w:tab w:val="num" w:pos="2880"/>
        </w:tabs>
        <w:ind w:left="2880" w:hanging="360"/>
      </w:pPr>
      <w:rPr>
        <w:rFonts w:ascii="Symbol" w:hAnsi="Symbol" w:hint="default"/>
      </w:rPr>
    </w:lvl>
    <w:lvl w:ilvl="4" w:tplc="839EBEDE" w:tentative="1">
      <w:start w:val="1"/>
      <w:numFmt w:val="bullet"/>
      <w:lvlText w:val="o"/>
      <w:lvlJc w:val="left"/>
      <w:pPr>
        <w:tabs>
          <w:tab w:val="num" w:pos="3600"/>
        </w:tabs>
        <w:ind w:left="3600" w:hanging="360"/>
      </w:pPr>
      <w:rPr>
        <w:rFonts w:ascii="Courier New" w:hAnsi="Courier New" w:cs="Courier New" w:hint="default"/>
      </w:rPr>
    </w:lvl>
    <w:lvl w:ilvl="5" w:tplc="EEE4462C" w:tentative="1">
      <w:start w:val="1"/>
      <w:numFmt w:val="bullet"/>
      <w:lvlText w:val=""/>
      <w:lvlJc w:val="left"/>
      <w:pPr>
        <w:tabs>
          <w:tab w:val="num" w:pos="4320"/>
        </w:tabs>
        <w:ind w:left="4320" w:hanging="360"/>
      </w:pPr>
      <w:rPr>
        <w:rFonts w:ascii="Wingdings" w:hAnsi="Wingdings" w:hint="default"/>
      </w:rPr>
    </w:lvl>
    <w:lvl w:ilvl="6" w:tplc="9490FBC4" w:tentative="1">
      <w:start w:val="1"/>
      <w:numFmt w:val="bullet"/>
      <w:lvlText w:val=""/>
      <w:lvlJc w:val="left"/>
      <w:pPr>
        <w:tabs>
          <w:tab w:val="num" w:pos="5040"/>
        </w:tabs>
        <w:ind w:left="5040" w:hanging="360"/>
      </w:pPr>
      <w:rPr>
        <w:rFonts w:ascii="Symbol" w:hAnsi="Symbol" w:hint="default"/>
      </w:rPr>
    </w:lvl>
    <w:lvl w:ilvl="7" w:tplc="117AD16C" w:tentative="1">
      <w:start w:val="1"/>
      <w:numFmt w:val="bullet"/>
      <w:lvlText w:val="o"/>
      <w:lvlJc w:val="left"/>
      <w:pPr>
        <w:tabs>
          <w:tab w:val="num" w:pos="5760"/>
        </w:tabs>
        <w:ind w:left="5760" w:hanging="360"/>
      </w:pPr>
      <w:rPr>
        <w:rFonts w:ascii="Courier New" w:hAnsi="Courier New" w:cs="Courier New" w:hint="default"/>
      </w:rPr>
    </w:lvl>
    <w:lvl w:ilvl="8" w:tplc="9594C6C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6761"/>
    <w:multiLevelType w:val="hybridMultilevel"/>
    <w:tmpl w:val="FF169C04"/>
    <w:lvl w:ilvl="0" w:tplc="48E26F1E">
      <w:start w:val="1"/>
      <w:numFmt w:val="bullet"/>
      <w:lvlRestart w:val="0"/>
      <w:pStyle w:val="X"/>
      <w:lvlText w:val="X"/>
      <w:lvlJc w:val="left"/>
      <w:pPr>
        <w:tabs>
          <w:tab w:val="num" w:pos="360"/>
        </w:tabs>
        <w:ind w:left="360" w:hanging="360"/>
      </w:pPr>
      <w:rPr>
        <w:rFonts w:ascii="Wingdings" w:hAnsi="Wingdings" w:hint="default"/>
        <w:color w:val="auto"/>
      </w:rPr>
    </w:lvl>
    <w:lvl w:ilvl="1" w:tplc="5BDA367E" w:tentative="1">
      <w:start w:val="1"/>
      <w:numFmt w:val="bullet"/>
      <w:lvlText w:val="o"/>
      <w:lvlJc w:val="left"/>
      <w:pPr>
        <w:tabs>
          <w:tab w:val="num" w:pos="1440"/>
        </w:tabs>
        <w:ind w:left="1440" w:hanging="360"/>
      </w:pPr>
      <w:rPr>
        <w:rFonts w:ascii="Courier New" w:hAnsi="Courier New" w:cs="Courier New" w:hint="default"/>
      </w:rPr>
    </w:lvl>
    <w:lvl w:ilvl="2" w:tplc="0680DDDE" w:tentative="1">
      <w:start w:val="1"/>
      <w:numFmt w:val="bullet"/>
      <w:lvlText w:val=""/>
      <w:lvlJc w:val="left"/>
      <w:pPr>
        <w:tabs>
          <w:tab w:val="num" w:pos="2160"/>
        </w:tabs>
        <w:ind w:left="2160" w:hanging="360"/>
      </w:pPr>
      <w:rPr>
        <w:rFonts w:ascii="Wingdings" w:hAnsi="Wingdings" w:hint="default"/>
      </w:rPr>
    </w:lvl>
    <w:lvl w:ilvl="3" w:tplc="389641CC" w:tentative="1">
      <w:start w:val="1"/>
      <w:numFmt w:val="bullet"/>
      <w:lvlText w:val=""/>
      <w:lvlJc w:val="left"/>
      <w:pPr>
        <w:tabs>
          <w:tab w:val="num" w:pos="2880"/>
        </w:tabs>
        <w:ind w:left="2880" w:hanging="360"/>
      </w:pPr>
      <w:rPr>
        <w:rFonts w:ascii="Symbol" w:hAnsi="Symbol" w:hint="default"/>
      </w:rPr>
    </w:lvl>
    <w:lvl w:ilvl="4" w:tplc="A12453C8" w:tentative="1">
      <w:start w:val="1"/>
      <w:numFmt w:val="bullet"/>
      <w:lvlText w:val="o"/>
      <w:lvlJc w:val="left"/>
      <w:pPr>
        <w:tabs>
          <w:tab w:val="num" w:pos="3600"/>
        </w:tabs>
        <w:ind w:left="3600" w:hanging="360"/>
      </w:pPr>
      <w:rPr>
        <w:rFonts w:ascii="Courier New" w:hAnsi="Courier New" w:cs="Courier New" w:hint="default"/>
      </w:rPr>
    </w:lvl>
    <w:lvl w:ilvl="5" w:tplc="A54E33E2" w:tentative="1">
      <w:start w:val="1"/>
      <w:numFmt w:val="bullet"/>
      <w:lvlText w:val=""/>
      <w:lvlJc w:val="left"/>
      <w:pPr>
        <w:tabs>
          <w:tab w:val="num" w:pos="4320"/>
        </w:tabs>
        <w:ind w:left="4320" w:hanging="360"/>
      </w:pPr>
      <w:rPr>
        <w:rFonts w:ascii="Wingdings" w:hAnsi="Wingdings" w:hint="default"/>
      </w:rPr>
    </w:lvl>
    <w:lvl w:ilvl="6" w:tplc="ED940780" w:tentative="1">
      <w:start w:val="1"/>
      <w:numFmt w:val="bullet"/>
      <w:lvlText w:val=""/>
      <w:lvlJc w:val="left"/>
      <w:pPr>
        <w:tabs>
          <w:tab w:val="num" w:pos="5040"/>
        </w:tabs>
        <w:ind w:left="5040" w:hanging="360"/>
      </w:pPr>
      <w:rPr>
        <w:rFonts w:ascii="Symbol" w:hAnsi="Symbol" w:hint="default"/>
      </w:rPr>
    </w:lvl>
    <w:lvl w:ilvl="7" w:tplc="3A5E8FAE" w:tentative="1">
      <w:start w:val="1"/>
      <w:numFmt w:val="bullet"/>
      <w:lvlText w:val="o"/>
      <w:lvlJc w:val="left"/>
      <w:pPr>
        <w:tabs>
          <w:tab w:val="num" w:pos="5760"/>
        </w:tabs>
        <w:ind w:left="5760" w:hanging="360"/>
      </w:pPr>
      <w:rPr>
        <w:rFonts w:ascii="Courier New" w:hAnsi="Courier New" w:cs="Courier New" w:hint="default"/>
      </w:rPr>
    </w:lvl>
    <w:lvl w:ilvl="8" w:tplc="73FCEFA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1E61BA"/>
    <w:multiLevelType w:val="multilevel"/>
    <w:tmpl w:val="6B04F0C8"/>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num w:numId="1">
    <w:abstractNumId w:val="26"/>
  </w:num>
  <w:num w:numId="2">
    <w:abstractNumId w:val="10"/>
  </w:num>
  <w:num w:numId="3">
    <w:abstractNumId w:val="24"/>
  </w:num>
  <w:num w:numId="4">
    <w:abstractNumId w:val="25"/>
  </w:num>
  <w:num w:numId="5">
    <w:abstractNumId w:val="27"/>
  </w:num>
  <w:num w:numId="6">
    <w:abstractNumId w:val="20"/>
  </w:num>
  <w:num w:numId="7">
    <w:abstractNumId w:val="11"/>
  </w:num>
  <w:num w:numId="8">
    <w:abstractNumId w:val="13"/>
  </w:num>
  <w:num w:numId="9">
    <w:abstractNumId w:val="17"/>
  </w:num>
  <w:num w:numId="10">
    <w:abstractNumId w:val="19"/>
  </w:num>
  <w:num w:numId="11">
    <w:abstractNumId w:val="21"/>
  </w:num>
  <w:num w:numId="12">
    <w:abstractNumId w:val="18"/>
  </w:num>
  <w:num w:numId="13">
    <w:abstractNumId w:val="22"/>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4"/>
  </w:num>
  <w:num w:numId="25">
    <w:abstractNumId w:val="15"/>
  </w:num>
  <w:num w:numId="26">
    <w:abstractNumId w:val="12"/>
  </w:num>
  <w:num w:numId="27">
    <w:abstractNumId w:val="23"/>
  </w:num>
  <w:num w:numId="2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BF"/>
    <w:rsid w:val="0000351C"/>
    <w:rsid w:val="000039BB"/>
    <w:rsid w:val="00004E83"/>
    <w:rsid w:val="00005568"/>
    <w:rsid w:val="00006C73"/>
    <w:rsid w:val="00006E6D"/>
    <w:rsid w:val="0001049C"/>
    <w:rsid w:val="000109BB"/>
    <w:rsid w:val="00010EFA"/>
    <w:rsid w:val="000110B7"/>
    <w:rsid w:val="00011F3A"/>
    <w:rsid w:val="00011F5D"/>
    <w:rsid w:val="00012A32"/>
    <w:rsid w:val="00015CD2"/>
    <w:rsid w:val="00017D53"/>
    <w:rsid w:val="00021EF6"/>
    <w:rsid w:val="00022A0B"/>
    <w:rsid w:val="0002509E"/>
    <w:rsid w:val="00031623"/>
    <w:rsid w:val="000332CC"/>
    <w:rsid w:val="000334AD"/>
    <w:rsid w:val="00037279"/>
    <w:rsid w:val="00037C33"/>
    <w:rsid w:val="00040749"/>
    <w:rsid w:val="00040DC2"/>
    <w:rsid w:val="00041239"/>
    <w:rsid w:val="00042FC9"/>
    <w:rsid w:val="00043107"/>
    <w:rsid w:val="00043CA7"/>
    <w:rsid w:val="00043DAB"/>
    <w:rsid w:val="00046140"/>
    <w:rsid w:val="00046213"/>
    <w:rsid w:val="000503C7"/>
    <w:rsid w:val="00051291"/>
    <w:rsid w:val="00051E36"/>
    <w:rsid w:val="000525DF"/>
    <w:rsid w:val="00052DD2"/>
    <w:rsid w:val="000530A1"/>
    <w:rsid w:val="00055899"/>
    <w:rsid w:val="0006066B"/>
    <w:rsid w:val="000613FD"/>
    <w:rsid w:val="00062150"/>
    <w:rsid w:val="00067C69"/>
    <w:rsid w:val="00072E50"/>
    <w:rsid w:val="000771E9"/>
    <w:rsid w:val="00080164"/>
    <w:rsid w:val="00081579"/>
    <w:rsid w:val="00082B3C"/>
    <w:rsid w:val="0008356B"/>
    <w:rsid w:val="00083E14"/>
    <w:rsid w:val="000864AB"/>
    <w:rsid w:val="000873F8"/>
    <w:rsid w:val="000904A7"/>
    <w:rsid w:val="00090BA0"/>
    <w:rsid w:val="000945B7"/>
    <w:rsid w:val="00095A55"/>
    <w:rsid w:val="000965D7"/>
    <w:rsid w:val="000A0C64"/>
    <w:rsid w:val="000A2B70"/>
    <w:rsid w:val="000A3BF2"/>
    <w:rsid w:val="000A577C"/>
    <w:rsid w:val="000A6243"/>
    <w:rsid w:val="000B2DED"/>
    <w:rsid w:val="000B45AF"/>
    <w:rsid w:val="000B65AB"/>
    <w:rsid w:val="000B66BA"/>
    <w:rsid w:val="000B7372"/>
    <w:rsid w:val="000C03D5"/>
    <w:rsid w:val="000C175E"/>
    <w:rsid w:val="000C32CA"/>
    <w:rsid w:val="000C41AE"/>
    <w:rsid w:val="000C6CE6"/>
    <w:rsid w:val="000D0412"/>
    <w:rsid w:val="000D0D75"/>
    <w:rsid w:val="000D168D"/>
    <w:rsid w:val="000D3C12"/>
    <w:rsid w:val="000E3BAF"/>
    <w:rsid w:val="000E51FC"/>
    <w:rsid w:val="000E5253"/>
    <w:rsid w:val="000E6437"/>
    <w:rsid w:val="000F54CF"/>
    <w:rsid w:val="000F5DB1"/>
    <w:rsid w:val="00102C2E"/>
    <w:rsid w:val="0010728C"/>
    <w:rsid w:val="00113D10"/>
    <w:rsid w:val="0012395D"/>
    <w:rsid w:val="00126842"/>
    <w:rsid w:val="00127CEF"/>
    <w:rsid w:val="00130928"/>
    <w:rsid w:val="001355CC"/>
    <w:rsid w:val="00141B81"/>
    <w:rsid w:val="0014610D"/>
    <w:rsid w:val="001465A4"/>
    <w:rsid w:val="00146D87"/>
    <w:rsid w:val="00146E1F"/>
    <w:rsid w:val="00146FF3"/>
    <w:rsid w:val="001500B7"/>
    <w:rsid w:val="001526E5"/>
    <w:rsid w:val="00154F8E"/>
    <w:rsid w:val="00155585"/>
    <w:rsid w:val="001564BA"/>
    <w:rsid w:val="00157B2B"/>
    <w:rsid w:val="0016186D"/>
    <w:rsid w:val="00170455"/>
    <w:rsid w:val="0017116D"/>
    <w:rsid w:val="00173A14"/>
    <w:rsid w:val="00174A7F"/>
    <w:rsid w:val="00176D81"/>
    <w:rsid w:val="00181E75"/>
    <w:rsid w:val="001837BB"/>
    <w:rsid w:val="00184818"/>
    <w:rsid w:val="0018693D"/>
    <w:rsid w:val="00191C62"/>
    <w:rsid w:val="00192C47"/>
    <w:rsid w:val="001958A3"/>
    <w:rsid w:val="00196DB4"/>
    <w:rsid w:val="001975D9"/>
    <w:rsid w:val="00197E20"/>
    <w:rsid w:val="001A134E"/>
    <w:rsid w:val="001B121D"/>
    <w:rsid w:val="001B2CFB"/>
    <w:rsid w:val="001B3766"/>
    <w:rsid w:val="001C52BE"/>
    <w:rsid w:val="001D7C19"/>
    <w:rsid w:val="001D7E59"/>
    <w:rsid w:val="001E27AB"/>
    <w:rsid w:val="001E2C14"/>
    <w:rsid w:val="001E4F02"/>
    <w:rsid w:val="001E6B6C"/>
    <w:rsid w:val="001E7137"/>
    <w:rsid w:val="001F0A0C"/>
    <w:rsid w:val="001F152D"/>
    <w:rsid w:val="001F2CBA"/>
    <w:rsid w:val="001F34C6"/>
    <w:rsid w:val="001F5506"/>
    <w:rsid w:val="001F56B6"/>
    <w:rsid w:val="001F597F"/>
    <w:rsid w:val="001F78A4"/>
    <w:rsid w:val="00200372"/>
    <w:rsid w:val="00202A8E"/>
    <w:rsid w:val="00203F14"/>
    <w:rsid w:val="002073D6"/>
    <w:rsid w:val="00212BE7"/>
    <w:rsid w:val="00215B2F"/>
    <w:rsid w:val="00216253"/>
    <w:rsid w:val="002172F3"/>
    <w:rsid w:val="002221F7"/>
    <w:rsid w:val="002261A0"/>
    <w:rsid w:val="002307AF"/>
    <w:rsid w:val="002307DB"/>
    <w:rsid w:val="00230FEB"/>
    <w:rsid w:val="0023184F"/>
    <w:rsid w:val="00236942"/>
    <w:rsid w:val="00237206"/>
    <w:rsid w:val="00241E12"/>
    <w:rsid w:val="00241F8A"/>
    <w:rsid w:val="002544B1"/>
    <w:rsid w:val="00257C23"/>
    <w:rsid w:val="002631D3"/>
    <w:rsid w:val="0026533F"/>
    <w:rsid w:val="002661B3"/>
    <w:rsid w:val="00272880"/>
    <w:rsid w:val="0027347D"/>
    <w:rsid w:val="0027499C"/>
    <w:rsid w:val="0028261F"/>
    <w:rsid w:val="002839F7"/>
    <w:rsid w:val="00283DBA"/>
    <w:rsid w:val="002859AC"/>
    <w:rsid w:val="00287F90"/>
    <w:rsid w:val="002913A1"/>
    <w:rsid w:val="0029222D"/>
    <w:rsid w:val="00295827"/>
    <w:rsid w:val="002A042A"/>
    <w:rsid w:val="002A055C"/>
    <w:rsid w:val="002A2A90"/>
    <w:rsid w:val="002B0740"/>
    <w:rsid w:val="002B128B"/>
    <w:rsid w:val="002B12FF"/>
    <w:rsid w:val="002B3E4B"/>
    <w:rsid w:val="002B6E6F"/>
    <w:rsid w:val="002C13D1"/>
    <w:rsid w:val="002C2564"/>
    <w:rsid w:val="002C4C2B"/>
    <w:rsid w:val="002C596E"/>
    <w:rsid w:val="002C6255"/>
    <w:rsid w:val="002C6EDD"/>
    <w:rsid w:val="002D606B"/>
    <w:rsid w:val="002D7084"/>
    <w:rsid w:val="002D771F"/>
    <w:rsid w:val="002D77B2"/>
    <w:rsid w:val="002E158A"/>
    <w:rsid w:val="002E7527"/>
    <w:rsid w:val="002F4E99"/>
    <w:rsid w:val="002F7117"/>
    <w:rsid w:val="0030311F"/>
    <w:rsid w:val="00303970"/>
    <w:rsid w:val="0030442B"/>
    <w:rsid w:val="00305BCF"/>
    <w:rsid w:val="00310B15"/>
    <w:rsid w:val="00316334"/>
    <w:rsid w:val="0032049E"/>
    <w:rsid w:val="003204C7"/>
    <w:rsid w:val="00322810"/>
    <w:rsid w:val="003237F3"/>
    <w:rsid w:val="0032384E"/>
    <w:rsid w:val="0032467A"/>
    <w:rsid w:val="003247F1"/>
    <w:rsid w:val="00326AD1"/>
    <w:rsid w:val="00331A19"/>
    <w:rsid w:val="00333327"/>
    <w:rsid w:val="00337662"/>
    <w:rsid w:val="00337738"/>
    <w:rsid w:val="00341BAE"/>
    <w:rsid w:val="00341EBB"/>
    <w:rsid w:val="00350A0B"/>
    <w:rsid w:val="00351870"/>
    <w:rsid w:val="0035232E"/>
    <w:rsid w:val="00353ACF"/>
    <w:rsid w:val="00353B60"/>
    <w:rsid w:val="00360852"/>
    <w:rsid w:val="00361042"/>
    <w:rsid w:val="00364512"/>
    <w:rsid w:val="00366139"/>
    <w:rsid w:val="003662BC"/>
    <w:rsid w:val="00367738"/>
    <w:rsid w:val="0037166A"/>
    <w:rsid w:val="00371D4A"/>
    <w:rsid w:val="00375FAB"/>
    <w:rsid w:val="0038087C"/>
    <w:rsid w:val="00381902"/>
    <w:rsid w:val="003820FC"/>
    <w:rsid w:val="003835E2"/>
    <w:rsid w:val="00383FAC"/>
    <w:rsid w:val="00385402"/>
    <w:rsid w:val="00387C77"/>
    <w:rsid w:val="00390A97"/>
    <w:rsid w:val="00392579"/>
    <w:rsid w:val="00393241"/>
    <w:rsid w:val="00394771"/>
    <w:rsid w:val="00395690"/>
    <w:rsid w:val="00395CBA"/>
    <w:rsid w:val="00396A24"/>
    <w:rsid w:val="003A10D0"/>
    <w:rsid w:val="003A3203"/>
    <w:rsid w:val="003A5FE7"/>
    <w:rsid w:val="003A74AD"/>
    <w:rsid w:val="003A7C0F"/>
    <w:rsid w:val="003B06DD"/>
    <w:rsid w:val="003B7F01"/>
    <w:rsid w:val="003C3311"/>
    <w:rsid w:val="003D02BC"/>
    <w:rsid w:val="003D3A1C"/>
    <w:rsid w:val="003E180C"/>
    <w:rsid w:val="003E3E12"/>
    <w:rsid w:val="003E41C7"/>
    <w:rsid w:val="003E66A5"/>
    <w:rsid w:val="003E6D1A"/>
    <w:rsid w:val="003F3C10"/>
    <w:rsid w:val="003F4095"/>
    <w:rsid w:val="003F47E1"/>
    <w:rsid w:val="003F5A32"/>
    <w:rsid w:val="003F6B49"/>
    <w:rsid w:val="0040177C"/>
    <w:rsid w:val="0040464C"/>
    <w:rsid w:val="004102A5"/>
    <w:rsid w:val="0041179B"/>
    <w:rsid w:val="00411A65"/>
    <w:rsid w:val="00414600"/>
    <w:rsid w:val="00416B14"/>
    <w:rsid w:val="00422371"/>
    <w:rsid w:val="0042345A"/>
    <w:rsid w:val="0042383C"/>
    <w:rsid w:val="00426BE1"/>
    <w:rsid w:val="004279A7"/>
    <w:rsid w:val="004313BC"/>
    <w:rsid w:val="0043678C"/>
    <w:rsid w:val="00440F86"/>
    <w:rsid w:val="00442A39"/>
    <w:rsid w:val="004447D1"/>
    <w:rsid w:val="004476EA"/>
    <w:rsid w:val="00450045"/>
    <w:rsid w:val="004510DD"/>
    <w:rsid w:val="004516AE"/>
    <w:rsid w:val="00457E78"/>
    <w:rsid w:val="00460B6C"/>
    <w:rsid w:val="00461726"/>
    <w:rsid w:val="00463624"/>
    <w:rsid w:val="0046382C"/>
    <w:rsid w:val="00464CA5"/>
    <w:rsid w:val="00471B1C"/>
    <w:rsid w:val="00472583"/>
    <w:rsid w:val="00473CE4"/>
    <w:rsid w:val="004809B8"/>
    <w:rsid w:val="004838A1"/>
    <w:rsid w:val="004841D2"/>
    <w:rsid w:val="00492CAA"/>
    <w:rsid w:val="00496D47"/>
    <w:rsid w:val="00496E6F"/>
    <w:rsid w:val="004A0A34"/>
    <w:rsid w:val="004A32AD"/>
    <w:rsid w:val="004A70FA"/>
    <w:rsid w:val="004B23ED"/>
    <w:rsid w:val="004B5954"/>
    <w:rsid w:val="004B75C0"/>
    <w:rsid w:val="004B76E3"/>
    <w:rsid w:val="004C0C94"/>
    <w:rsid w:val="004C45AF"/>
    <w:rsid w:val="004C595B"/>
    <w:rsid w:val="004C6116"/>
    <w:rsid w:val="004D1F1E"/>
    <w:rsid w:val="004D3BCB"/>
    <w:rsid w:val="004D4F9E"/>
    <w:rsid w:val="004D5B1C"/>
    <w:rsid w:val="004D6A1D"/>
    <w:rsid w:val="004E2CA2"/>
    <w:rsid w:val="004E353A"/>
    <w:rsid w:val="004E597D"/>
    <w:rsid w:val="004E658A"/>
    <w:rsid w:val="004F0AAA"/>
    <w:rsid w:val="004F185A"/>
    <w:rsid w:val="004F5DA0"/>
    <w:rsid w:val="004F74C3"/>
    <w:rsid w:val="00501B75"/>
    <w:rsid w:val="00501CF6"/>
    <w:rsid w:val="0050379B"/>
    <w:rsid w:val="005061C9"/>
    <w:rsid w:val="00507204"/>
    <w:rsid w:val="00510187"/>
    <w:rsid w:val="005105FD"/>
    <w:rsid w:val="00512B63"/>
    <w:rsid w:val="00515269"/>
    <w:rsid w:val="00515831"/>
    <w:rsid w:val="00515F71"/>
    <w:rsid w:val="005167F3"/>
    <w:rsid w:val="005203FF"/>
    <w:rsid w:val="005240DB"/>
    <w:rsid w:val="005240E8"/>
    <w:rsid w:val="00527C68"/>
    <w:rsid w:val="00530112"/>
    <w:rsid w:val="00532970"/>
    <w:rsid w:val="00535003"/>
    <w:rsid w:val="005371D2"/>
    <w:rsid w:val="00542A28"/>
    <w:rsid w:val="00543408"/>
    <w:rsid w:val="00543EEC"/>
    <w:rsid w:val="00544E77"/>
    <w:rsid w:val="00550EC6"/>
    <w:rsid w:val="00551E3C"/>
    <w:rsid w:val="005523E3"/>
    <w:rsid w:val="00553DC5"/>
    <w:rsid w:val="0055743A"/>
    <w:rsid w:val="00560DB2"/>
    <w:rsid w:val="005623E0"/>
    <w:rsid w:val="0056386E"/>
    <w:rsid w:val="005711A8"/>
    <w:rsid w:val="005721F1"/>
    <w:rsid w:val="00577C6F"/>
    <w:rsid w:val="00581900"/>
    <w:rsid w:val="005835EF"/>
    <w:rsid w:val="00585E9B"/>
    <w:rsid w:val="00586CC2"/>
    <w:rsid w:val="00587B41"/>
    <w:rsid w:val="0059057E"/>
    <w:rsid w:val="005919E5"/>
    <w:rsid w:val="00591F3C"/>
    <w:rsid w:val="005950A8"/>
    <w:rsid w:val="005A04BF"/>
    <w:rsid w:val="005A2AA2"/>
    <w:rsid w:val="005A3734"/>
    <w:rsid w:val="005A6AC1"/>
    <w:rsid w:val="005A6B97"/>
    <w:rsid w:val="005A6CC9"/>
    <w:rsid w:val="005B0D1C"/>
    <w:rsid w:val="005B0DDC"/>
    <w:rsid w:val="005B163C"/>
    <w:rsid w:val="005B17FC"/>
    <w:rsid w:val="005B1885"/>
    <w:rsid w:val="005B3C7C"/>
    <w:rsid w:val="005B5859"/>
    <w:rsid w:val="005B6A93"/>
    <w:rsid w:val="005C1AD9"/>
    <w:rsid w:val="005C674F"/>
    <w:rsid w:val="005D09D1"/>
    <w:rsid w:val="005D3426"/>
    <w:rsid w:val="005D40C0"/>
    <w:rsid w:val="005D50A0"/>
    <w:rsid w:val="005E33C7"/>
    <w:rsid w:val="005E3CE6"/>
    <w:rsid w:val="005E422A"/>
    <w:rsid w:val="005F0507"/>
    <w:rsid w:val="005F24E6"/>
    <w:rsid w:val="005F3188"/>
    <w:rsid w:val="005F32B1"/>
    <w:rsid w:val="006117B7"/>
    <w:rsid w:val="0061260F"/>
    <w:rsid w:val="0061266F"/>
    <w:rsid w:val="00613D91"/>
    <w:rsid w:val="0061527A"/>
    <w:rsid w:val="0062119A"/>
    <w:rsid w:val="0062171A"/>
    <w:rsid w:val="00621B7B"/>
    <w:rsid w:val="00622AE8"/>
    <w:rsid w:val="00625B36"/>
    <w:rsid w:val="0062699A"/>
    <w:rsid w:val="006274E4"/>
    <w:rsid w:val="0063048B"/>
    <w:rsid w:val="0063179B"/>
    <w:rsid w:val="00635F8F"/>
    <w:rsid w:val="006408A2"/>
    <w:rsid w:val="00640CEA"/>
    <w:rsid w:val="006418F9"/>
    <w:rsid w:val="0064378F"/>
    <w:rsid w:val="0064389E"/>
    <w:rsid w:val="00643CC5"/>
    <w:rsid w:val="00647D1A"/>
    <w:rsid w:val="006512FC"/>
    <w:rsid w:val="006523FA"/>
    <w:rsid w:val="00656C39"/>
    <w:rsid w:val="00660259"/>
    <w:rsid w:val="00661B98"/>
    <w:rsid w:val="00662BA9"/>
    <w:rsid w:val="0066317B"/>
    <w:rsid w:val="00671079"/>
    <w:rsid w:val="00673E01"/>
    <w:rsid w:val="00677197"/>
    <w:rsid w:val="00677A97"/>
    <w:rsid w:val="00681DF8"/>
    <w:rsid w:val="006832E2"/>
    <w:rsid w:val="00686187"/>
    <w:rsid w:val="006918D1"/>
    <w:rsid w:val="00695493"/>
    <w:rsid w:val="006955A7"/>
    <w:rsid w:val="00697002"/>
    <w:rsid w:val="006A0C46"/>
    <w:rsid w:val="006A20BA"/>
    <w:rsid w:val="006A2AF2"/>
    <w:rsid w:val="006A54CC"/>
    <w:rsid w:val="006A62E7"/>
    <w:rsid w:val="006A64A3"/>
    <w:rsid w:val="006B291C"/>
    <w:rsid w:val="006B2D7D"/>
    <w:rsid w:val="006B7911"/>
    <w:rsid w:val="006C1AC7"/>
    <w:rsid w:val="006C2E2E"/>
    <w:rsid w:val="006C6324"/>
    <w:rsid w:val="006D36F9"/>
    <w:rsid w:val="006E0341"/>
    <w:rsid w:val="006E31D3"/>
    <w:rsid w:val="006E3203"/>
    <w:rsid w:val="006E6B9C"/>
    <w:rsid w:val="006F0923"/>
    <w:rsid w:val="006F0F46"/>
    <w:rsid w:val="006F501B"/>
    <w:rsid w:val="006F5ACF"/>
    <w:rsid w:val="006F7A26"/>
    <w:rsid w:val="006F7BB9"/>
    <w:rsid w:val="00703CB8"/>
    <w:rsid w:val="007062ED"/>
    <w:rsid w:val="007075C2"/>
    <w:rsid w:val="0071315E"/>
    <w:rsid w:val="0071322B"/>
    <w:rsid w:val="00714A19"/>
    <w:rsid w:val="00723077"/>
    <w:rsid w:val="00725F8B"/>
    <w:rsid w:val="007277A7"/>
    <w:rsid w:val="00731E0B"/>
    <w:rsid w:val="00733F67"/>
    <w:rsid w:val="00734A18"/>
    <w:rsid w:val="0073740E"/>
    <w:rsid w:val="00742771"/>
    <w:rsid w:val="00743D85"/>
    <w:rsid w:val="0074406E"/>
    <w:rsid w:val="00746873"/>
    <w:rsid w:val="00750AB9"/>
    <w:rsid w:val="00753AFF"/>
    <w:rsid w:val="007544C9"/>
    <w:rsid w:val="007616CA"/>
    <w:rsid w:val="00763E28"/>
    <w:rsid w:val="00765BBF"/>
    <w:rsid w:val="00765DD7"/>
    <w:rsid w:val="00770064"/>
    <w:rsid w:val="0077182C"/>
    <w:rsid w:val="007725CD"/>
    <w:rsid w:val="007729E3"/>
    <w:rsid w:val="007827BE"/>
    <w:rsid w:val="00783E3F"/>
    <w:rsid w:val="00785A28"/>
    <w:rsid w:val="00790956"/>
    <w:rsid w:val="007A14D9"/>
    <w:rsid w:val="007A152D"/>
    <w:rsid w:val="007A7021"/>
    <w:rsid w:val="007B1BD8"/>
    <w:rsid w:val="007B3B08"/>
    <w:rsid w:val="007B60DE"/>
    <w:rsid w:val="007C122A"/>
    <w:rsid w:val="007C297B"/>
    <w:rsid w:val="007C7C43"/>
    <w:rsid w:val="007D214A"/>
    <w:rsid w:val="007D3B90"/>
    <w:rsid w:val="007D61DC"/>
    <w:rsid w:val="007D6295"/>
    <w:rsid w:val="007D7B74"/>
    <w:rsid w:val="007E1863"/>
    <w:rsid w:val="007E3CD8"/>
    <w:rsid w:val="007E565C"/>
    <w:rsid w:val="007F2B65"/>
    <w:rsid w:val="007F30F8"/>
    <w:rsid w:val="007F3EA2"/>
    <w:rsid w:val="007F5850"/>
    <w:rsid w:val="00800569"/>
    <w:rsid w:val="00801993"/>
    <w:rsid w:val="008019CD"/>
    <w:rsid w:val="00803E3E"/>
    <w:rsid w:val="00805C05"/>
    <w:rsid w:val="00807F34"/>
    <w:rsid w:val="00810534"/>
    <w:rsid w:val="00810E4D"/>
    <w:rsid w:val="008120EF"/>
    <w:rsid w:val="008169FE"/>
    <w:rsid w:val="008175C7"/>
    <w:rsid w:val="00820171"/>
    <w:rsid w:val="00820552"/>
    <w:rsid w:val="00820EB1"/>
    <w:rsid w:val="00821C21"/>
    <w:rsid w:val="00822B86"/>
    <w:rsid w:val="00822BED"/>
    <w:rsid w:val="00825115"/>
    <w:rsid w:val="008260F5"/>
    <w:rsid w:val="00826D41"/>
    <w:rsid w:val="00831F32"/>
    <w:rsid w:val="00832BB2"/>
    <w:rsid w:val="008346E1"/>
    <w:rsid w:val="00835DFF"/>
    <w:rsid w:val="00837F1B"/>
    <w:rsid w:val="0084366B"/>
    <w:rsid w:val="0084587F"/>
    <w:rsid w:val="00846663"/>
    <w:rsid w:val="00846F28"/>
    <w:rsid w:val="00847747"/>
    <w:rsid w:val="008501D8"/>
    <w:rsid w:val="00851253"/>
    <w:rsid w:val="00851D74"/>
    <w:rsid w:val="00852ED7"/>
    <w:rsid w:val="0086014E"/>
    <w:rsid w:val="00860AAE"/>
    <w:rsid w:val="00860C35"/>
    <w:rsid w:val="00860ED3"/>
    <w:rsid w:val="00862586"/>
    <w:rsid w:val="00862C58"/>
    <w:rsid w:val="008637F6"/>
    <w:rsid w:val="00864BB9"/>
    <w:rsid w:val="0087102D"/>
    <w:rsid w:val="00871292"/>
    <w:rsid w:val="008714B9"/>
    <w:rsid w:val="008739EE"/>
    <w:rsid w:val="00876CE1"/>
    <w:rsid w:val="00876E2B"/>
    <w:rsid w:val="00877E8A"/>
    <w:rsid w:val="00881091"/>
    <w:rsid w:val="00882405"/>
    <w:rsid w:val="00882BDE"/>
    <w:rsid w:val="008855CB"/>
    <w:rsid w:val="00885CC9"/>
    <w:rsid w:val="0089123D"/>
    <w:rsid w:val="00892252"/>
    <w:rsid w:val="0089652A"/>
    <w:rsid w:val="008A19A2"/>
    <w:rsid w:val="008B1C6D"/>
    <w:rsid w:val="008B59BB"/>
    <w:rsid w:val="008C503D"/>
    <w:rsid w:val="008C5813"/>
    <w:rsid w:val="008C7456"/>
    <w:rsid w:val="008D0B5B"/>
    <w:rsid w:val="008D5EF4"/>
    <w:rsid w:val="008D7663"/>
    <w:rsid w:val="008E266E"/>
    <w:rsid w:val="008E47BA"/>
    <w:rsid w:val="008E7593"/>
    <w:rsid w:val="008F27CC"/>
    <w:rsid w:val="008F5ACB"/>
    <w:rsid w:val="008F6140"/>
    <w:rsid w:val="008F7F71"/>
    <w:rsid w:val="009015F4"/>
    <w:rsid w:val="009027C9"/>
    <w:rsid w:val="0090671B"/>
    <w:rsid w:val="00914536"/>
    <w:rsid w:val="0091774A"/>
    <w:rsid w:val="00917FCE"/>
    <w:rsid w:val="00920486"/>
    <w:rsid w:val="009232F4"/>
    <w:rsid w:val="0092368D"/>
    <w:rsid w:val="009241B5"/>
    <w:rsid w:val="009272A0"/>
    <w:rsid w:val="00933350"/>
    <w:rsid w:val="0093344B"/>
    <w:rsid w:val="009371B7"/>
    <w:rsid w:val="00940ADF"/>
    <w:rsid w:val="009414F0"/>
    <w:rsid w:val="00941ED6"/>
    <w:rsid w:val="00943EF8"/>
    <w:rsid w:val="00945C72"/>
    <w:rsid w:val="00946646"/>
    <w:rsid w:val="0095015A"/>
    <w:rsid w:val="00951A19"/>
    <w:rsid w:val="00952CCD"/>
    <w:rsid w:val="0095388F"/>
    <w:rsid w:val="00954012"/>
    <w:rsid w:val="00962610"/>
    <w:rsid w:val="009649B4"/>
    <w:rsid w:val="0096589B"/>
    <w:rsid w:val="00965BC8"/>
    <w:rsid w:val="0097442A"/>
    <w:rsid w:val="0097633F"/>
    <w:rsid w:val="00977517"/>
    <w:rsid w:val="00980A68"/>
    <w:rsid w:val="00982722"/>
    <w:rsid w:val="0098386B"/>
    <w:rsid w:val="00983E0C"/>
    <w:rsid w:val="00984C2A"/>
    <w:rsid w:val="00990125"/>
    <w:rsid w:val="009935B1"/>
    <w:rsid w:val="009A1C81"/>
    <w:rsid w:val="009A2153"/>
    <w:rsid w:val="009A53E6"/>
    <w:rsid w:val="009A61D2"/>
    <w:rsid w:val="009B1801"/>
    <w:rsid w:val="009B1ADC"/>
    <w:rsid w:val="009B4AC9"/>
    <w:rsid w:val="009B4BB3"/>
    <w:rsid w:val="009B51E0"/>
    <w:rsid w:val="009C1BE5"/>
    <w:rsid w:val="009C2447"/>
    <w:rsid w:val="009C3587"/>
    <w:rsid w:val="009C7289"/>
    <w:rsid w:val="009D0FAF"/>
    <w:rsid w:val="009D35F8"/>
    <w:rsid w:val="009D62BA"/>
    <w:rsid w:val="009D73C0"/>
    <w:rsid w:val="009D7EE5"/>
    <w:rsid w:val="009E0A3E"/>
    <w:rsid w:val="009E1802"/>
    <w:rsid w:val="009E3299"/>
    <w:rsid w:val="009E544D"/>
    <w:rsid w:val="009F0EA8"/>
    <w:rsid w:val="009F2001"/>
    <w:rsid w:val="009F24C5"/>
    <w:rsid w:val="009F2F5B"/>
    <w:rsid w:val="009F45FB"/>
    <w:rsid w:val="009F6544"/>
    <w:rsid w:val="00A00794"/>
    <w:rsid w:val="00A00FE7"/>
    <w:rsid w:val="00A0163B"/>
    <w:rsid w:val="00A032AD"/>
    <w:rsid w:val="00A111A5"/>
    <w:rsid w:val="00A1632E"/>
    <w:rsid w:val="00A1792D"/>
    <w:rsid w:val="00A2022F"/>
    <w:rsid w:val="00A3102E"/>
    <w:rsid w:val="00A31883"/>
    <w:rsid w:val="00A33BBB"/>
    <w:rsid w:val="00A33EFA"/>
    <w:rsid w:val="00A34325"/>
    <w:rsid w:val="00A35A3D"/>
    <w:rsid w:val="00A36835"/>
    <w:rsid w:val="00A40B0A"/>
    <w:rsid w:val="00A40B0F"/>
    <w:rsid w:val="00A42145"/>
    <w:rsid w:val="00A433F8"/>
    <w:rsid w:val="00A43425"/>
    <w:rsid w:val="00A44AD0"/>
    <w:rsid w:val="00A466A2"/>
    <w:rsid w:val="00A504AB"/>
    <w:rsid w:val="00A51C34"/>
    <w:rsid w:val="00A53300"/>
    <w:rsid w:val="00A54294"/>
    <w:rsid w:val="00A55612"/>
    <w:rsid w:val="00A562D6"/>
    <w:rsid w:val="00A56CCB"/>
    <w:rsid w:val="00A635C7"/>
    <w:rsid w:val="00A676D7"/>
    <w:rsid w:val="00A705A8"/>
    <w:rsid w:val="00A70944"/>
    <w:rsid w:val="00A71591"/>
    <w:rsid w:val="00A721F8"/>
    <w:rsid w:val="00A72CC3"/>
    <w:rsid w:val="00A737B5"/>
    <w:rsid w:val="00A76738"/>
    <w:rsid w:val="00A77433"/>
    <w:rsid w:val="00A81826"/>
    <w:rsid w:val="00A91E9C"/>
    <w:rsid w:val="00A96719"/>
    <w:rsid w:val="00A9732C"/>
    <w:rsid w:val="00A97742"/>
    <w:rsid w:val="00A97C8E"/>
    <w:rsid w:val="00A97EDA"/>
    <w:rsid w:val="00AA1D9B"/>
    <w:rsid w:val="00AA67CD"/>
    <w:rsid w:val="00AA7A1B"/>
    <w:rsid w:val="00AA7B28"/>
    <w:rsid w:val="00AB030F"/>
    <w:rsid w:val="00AB3DC2"/>
    <w:rsid w:val="00AB54D6"/>
    <w:rsid w:val="00AB5A20"/>
    <w:rsid w:val="00AB60AE"/>
    <w:rsid w:val="00AB7198"/>
    <w:rsid w:val="00AC32E6"/>
    <w:rsid w:val="00AC4061"/>
    <w:rsid w:val="00AC6FDA"/>
    <w:rsid w:val="00AD2331"/>
    <w:rsid w:val="00AD4CDB"/>
    <w:rsid w:val="00AE057F"/>
    <w:rsid w:val="00AE264A"/>
    <w:rsid w:val="00AE3408"/>
    <w:rsid w:val="00AE4BB5"/>
    <w:rsid w:val="00AF0E73"/>
    <w:rsid w:val="00AF1E1F"/>
    <w:rsid w:val="00AF2B04"/>
    <w:rsid w:val="00AF2E03"/>
    <w:rsid w:val="00AF65E3"/>
    <w:rsid w:val="00AF70AD"/>
    <w:rsid w:val="00B0163B"/>
    <w:rsid w:val="00B03499"/>
    <w:rsid w:val="00B07D50"/>
    <w:rsid w:val="00B10260"/>
    <w:rsid w:val="00B13225"/>
    <w:rsid w:val="00B15D81"/>
    <w:rsid w:val="00B162B6"/>
    <w:rsid w:val="00B20873"/>
    <w:rsid w:val="00B210FF"/>
    <w:rsid w:val="00B2300C"/>
    <w:rsid w:val="00B241C1"/>
    <w:rsid w:val="00B24CB9"/>
    <w:rsid w:val="00B26007"/>
    <w:rsid w:val="00B26D03"/>
    <w:rsid w:val="00B26EAA"/>
    <w:rsid w:val="00B302B4"/>
    <w:rsid w:val="00B31744"/>
    <w:rsid w:val="00B32751"/>
    <w:rsid w:val="00B332C7"/>
    <w:rsid w:val="00B40688"/>
    <w:rsid w:val="00B41C3E"/>
    <w:rsid w:val="00B45C63"/>
    <w:rsid w:val="00B473C2"/>
    <w:rsid w:val="00B50F90"/>
    <w:rsid w:val="00B54C87"/>
    <w:rsid w:val="00B6185C"/>
    <w:rsid w:val="00B62310"/>
    <w:rsid w:val="00B64061"/>
    <w:rsid w:val="00B64C2E"/>
    <w:rsid w:val="00B65D2C"/>
    <w:rsid w:val="00B712BB"/>
    <w:rsid w:val="00B71D78"/>
    <w:rsid w:val="00B76ABE"/>
    <w:rsid w:val="00B77797"/>
    <w:rsid w:val="00B8056A"/>
    <w:rsid w:val="00B8065E"/>
    <w:rsid w:val="00B830DB"/>
    <w:rsid w:val="00B84E74"/>
    <w:rsid w:val="00B855A9"/>
    <w:rsid w:val="00B934A2"/>
    <w:rsid w:val="00B95992"/>
    <w:rsid w:val="00B96F44"/>
    <w:rsid w:val="00B976BE"/>
    <w:rsid w:val="00BA0E72"/>
    <w:rsid w:val="00BA2089"/>
    <w:rsid w:val="00BA2593"/>
    <w:rsid w:val="00BA3C55"/>
    <w:rsid w:val="00BA4B46"/>
    <w:rsid w:val="00BA60BE"/>
    <w:rsid w:val="00BB0498"/>
    <w:rsid w:val="00BB09D3"/>
    <w:rsid w:val="00BB4503"/>
    <w:rsid w:val="00BB5BDE"/>
    <w:rsid w:val="00BB605C"/>
    <w:rsid w:val="00BB60E0"/>
    <w:rsid w:val="00BB61B4"/>
    <w:rsid w:val="00BB7E3D"/>
    <w:rsid w:val="00BC1313"/>
    <w:rsid w:val="00BC2472"/>
    <w:rsid w:val="00BC3815"/>
    <w:rsid w:val="00BC55B3"/>
    <w:rsid w:val="00BC56D4"/>
    <w:rsid w:val="00BD0E67"/>
    <w:rsid w:val="00BD239C"/>
    <w:rsid w:val="00BD5B13"/>
    <w:rsid w:val="00BE0AD3"/>
    <w:rsid w:val="00BE66EC"/>
    <w:rsid w:val="00BE73BF"/>
    <w:rsid w:val="00BF1C87"/>
    <w:rsid w:val="00BF213A"/>
    <w:rsid w:val="00BF7919"/>
    <w:rsid w:val="00C03659"/>
    <w:rsid w:val="00C05076"/>
    <w:rsid w:val="00C054C5"/>
    <w:rsid w:val="00C07833"/>
    <w:rsid w:val="00C1012C"/>
    <w:rsid w:val="00C14A45"/>
    <w:rsid w:val="00C200C1"/>
    <w:rsid w:val="00C22B18"/>
    <w:rsid w:val="00C22E79"/>
    <w:rsid w:val="00C24F23"/>
    <w:rsid w:val="00C25185"/>
    <w:rsid w:val="00C25BEA"/>
    <w:rsid w:val="00C26062"/>
    <w:rsid w:val="00C265E2"/>
    <w:rsid w:val="00C26DE6"/>
    <w:rsid w:val="00C32BC0"/>
    <w:rsid w:val="00C33721"/>
    <w:rsid w:val="00C34401"/>
    <w:rsid w:val="00C437BA"/>
    <w:rsid w:val="00C44650"/>
    <w:rsid w:val="00C44823"/>
    <w:rsid w:val="00C45122"/>
    <w:rsid w:val="00C50BCA"/>
    <w:rsid w:val="00C53195"/>
    <w:rsid w:val="00C5363D"/>
    <w:rsid w:val="00C556C0"/>
    <w:rsid w:val="00C57ED2"/>
    <w:rsid w:val="00C64B08"/>
    <w:rsid w:val="00C66C34"/>
    <w:rsid w:val="00C701B8"/>
    <w:rsid w:val="00C77602"/>
    <w:rsid w:val="00C81386"/>
    <w:rsid w:val="00C83CDD"/>
    <w:rsid w:val="00C855D6"/>
    <w:rsid w:val="00C85D20"/>
    <w:rsid w:val="00C874A1"/>
    <w:rsid w:val="00C955E9"/>
    <w:rsid w:val="00C95B95"/>
    <w:rsid w:val="00C97EA1"/>
    <w:rsid w:val="00CA2E89"/>
    <w:rsid w:val="00CA529A"/>
    <w:rsid w:val="00CB15A3"/>
    <w:rsid w:val="00CB185A"/>
    <w:rsid w:val="00CB3AAB"/>
    <w:rsid w:val="00CB5154"/>
    <w:rsid w:val="00CC0E60"/>
    <w:rsid w:val="00CC236C"/>
    <w:rsid w:val="00CC4486"/>
    <w:rsid w:val="00CC4821"/>
    <w:rsid w:val="00CC4EE5"/>
    <w:rsid w:val="00CD09A8"/>
    <w:rsid w:val="00CD1F15"/>
    <w:rsid w:val="00CD2A73"/>
    <w:rsid w:val="00CD2DC4"/>
    <w:rsid w:val="00CD3B7E"/>
    <w:rsid w:val="00CD5E82"/>
    <w:rsid w:val="00CD7066"/>
    <w:rsid w:val="00CD7C79"/>
    <w:rsid w:val="00CE1AEE"/>
    <w:rsid w:val="00CE767D"/>
    <w:rsid w:val="00CF2337"/>
    <w:rsid w:val="00CF4235"/>
    <w:rsid w:val="00CF4FB6"/>
    <w:rsid w:val="00CF5DB3"/>
    <w:rsid w:val="00D0135C"/>
    <w:rsid w:val="00D02F31"/>
    <w:rsid w:val="00D03570"/>
    <w:rsid w:val="00D0398B"/>
    <w:rsid w:val="00D04DF9"/>
    <w:rsid w:val="00D069E7"/>
    <w:rsid w:val="00D10837"/>
    <w:rsid w:val="00D10AFA"/>
    <w:rsid w:val="00D11ED2"/>
    <w:rsid w:val="00D14200"/>
    <w:rsid w:val="00D14701"/>
    <w:rsid w:val="00D15BE8"/>
    <w:rsid w:val="00D179A1"/>
    <w:rsid w:val="00D21613"/>
    <w:rsid w:val="00D220BA"/>
    <w:rsid w:val="00D221BB"/>
    <w:rsid w:val="00D22F4A"/>
    <w:rsid w:val="00D25EA5"/>
    <w:rsid w:val="00D26BDA"/>
    <w:rsid w:val="00D33FC8"/>
    <w:rsid w:val="00D3595D"/>
    <w:rsid w:val="00D36268"/>
    <w:rsid w:val="00D376A9"/>
    <w:rsid w:val="00D40F9F"/>
    <w:rsid w:val="00D42527"/>
    <w:rsid w:val="00D4285D"/>
    <w:rsid w:val="00D4442E"/>
    <w:rsid w:val="00D4443C"/>
    <w:rsid w:val="00D45ADC"/>
    <w:rsid w:val="00D45BD7"/>
    <w:rsid w:val="00D462A7"/>
    <w:rsid w:val="00D47B39"/>
    <w:rsid w:val="00D5087F"/>
    <w:rsid w:val="00D52EA0"/>
    <w:rsid w:val="00D54487"/>
    <w:rsid w:val="00D60A3A"/>
    <w:rsid w:val="00D6237E"/>
    <w:rsid w:val="00D639C8"/>
    <w:rsid w:val="00D67935"/>
    <w:rsid w:val="00D67B54"/>
    <w:rsid w:val="00D700EE"/>
    <w:rsid w:val="00D71A80"/>
    <w:rsid w:val="00D73D29"/>
    <w:rsid w:val="00D741BE"/>
    <w:rsid w:val="00D74D3F"/>
    <w:rsid w:val="00D75887"/>
    <w:rsid w:val="00D771A0"/>
    <w:rsid w:val="00D80819"/>
    <w:rsid w:val="00D809BA"/>
    <w:rsid w:val="00D825DF"/>
    <w:rsid w:val="00D8368F"/>
    <w:rsid w:val="00D83CA5"/>
    <w:rsid w:val="00D84117"/>
    <w:rsid w:val="00D84FE8"/>
    <w:rsid w:val="00D8554B"/>
    <w:rsid w:val="00D86A87"/>
    <w:rsid w:val="00D90E8F"/>
    <w:rsid w:val="00D928B6"/>
    <w:rsid w:val="00D9353B"/>
    <w:rsid w:val="00D95498"/>
    <w:rsid w:val="00DA2257"/>
    <w:rsid w:val="00DA25A5"/>
    <w:rsid w:val="00DA3593"/>
    <w:rsid w:val="00DA52CB"/>
    <w:rsid w:val="00DA68DD"/>
    <w:rsid w:val="00DB0B3A"/>
    <w:rsid w:val="00DC1F9C"/>
    <w:rsid w:val="00DC3C0A"/>
    <w:rsid w:val="00DC4B21"/>
    <w:rsid w:val="00DC4CAB"/>
    <w:rsid w:val="00DC5179"/>
    <w:rsid w:val="00DC7D5D"/>
    <w:rsid w:val="00DD270C"/>
    <w:rsid w:val="00DF1485"/>
    <w:rsid w:val="00DF3F20"/>
    <w:rsid w:val="00DF41E7"/>
    <w:rsid w:val="00E003E0"/>
    <w:rsid w:val="00E030A9"/>
    <w:rsid w:val="00E0650A"/>
    <w:rsid w:val="00E0732C"/>
    <w:rsid w:val="00E11074"/>
    <w:rsid w:val="00E11526"/>
    <w:rsid w:val="00E1566C"/>
    <w:rsid w:val="00E16F8A"/>
    <w:rsid w:val="00E20AB0"/>
    <w:rsid w:val="00E22BFE"/>
    <w:rsid w:val="00E22E12"/>
    <w:rsid w:val="00E2559F"/>
    <w:rsid w:val="00E2755A"/>
    <w:rsid w:val="00E33F97"/>
    <w:rsid w:val="00E3433F"/>
    <w:rsid w:val="00E343F6"/>
    <w:rsid w:val="00E37BBC"/>
    <w:rsid w:val="00E446F9"/>
    <w:rsid w:val="00E47831"/>
    <w:rsid w:val="00E51157"/>
    <w:rsid w:val="00E51716"/>
    <w:rsid w:val="00E54A02"/>
    <w:rsid w:val="00E57F9E"/>
    <w:rsid w:val="00E63CD1"/>
    <w:rsid w:val="00E649A9"/>
    <w:rsid w:val="00E6702E"/>
    <w:rsid w:val="00E70B04"/>
    <w:rsid w:val="00E71E4C"/>
    <w:rsid w:val="00E725CD"/>
    <w:rsid w:val="00E76A9B"/>
    <w:rsid w:val="00E80DA7"/>
    <w:rsid w:val="00E855E9"/>
    <w:rsid w:val="00E85CB1"/>
    <w:rsid w:val="00E92D4B"/>
    <w:rsid w:val="00E92E4B"/>
    <w:rsid w:val="00E93965"/>
    <w:rsid w:val="00E94026"/>
    <w:rsid w:val="00E95BF7"/>
    <w:rsid w:val="00E97FF8"/>
    <w:rsid w:val="00EA0549"/>
    <w:rsid w:val="00EA124A"/>
    <w:rsid w:val="00EA20B7"/>
    <w:rsid w:val="00EA3206"/>
    <w:rsid w:val="00EA715F"/>
    <w:rsid w:val="00EA7E74"/>
    <w:rsid w:val="00EB0013"/>
    <w:rsid w:val="00EB1381"/>
    <w:rsid w:val="00EB1C9E"/>
    <w:rsid w:val="00EB5531"/>
    <w:rsid w:val="00EB5F89"/>
    <w:rsid w:val="00EB6550"/>
    <w:rsid w:val="00EC5B63"/>
    <w:rsid w:val="00EC6760"/>
    <w:rsid w:val="00ED1CCF"/>
    <w:rsid w:val="00ED38C8"/>
    <w:rsid w:val="00ED7024"/>
    <w:rsid w:val="00EE3CFE"/>
    <w:rsid w:val="00EE5DF7"/>
    <w:rsid w:val="00EF2A4C"/>
    <w:rsid w:val="00EF3061"/>
    <w:rsid w:val="00EF3F16"/>
    <w:rsid w:val="00F04D7D"/>
    <w:rsid w:val="00F11D94"/>
    <w:rsid w:val="00F12014"/>
    <w:rsid w:val="00F16168"/>
    <w:rsid w:val="00F22E01"/>
    <w:rsid w:val="00F2309D"/>
    <w:rsid w:val="00F26CCC"/>
    <w:rsid w:val="00F27413"/>
    <w:rsid w:val="00F3321B"/>
    <w:rsid w:val="00F34681"/>
    <w:rsid w:val="00F35DB4"/>
    <w:rsid w:val="00F364E2"/>
    <w:rsid w:val="00F373CD"/>
    <w:rsid w:val="00F41103"/>
    <w:rsid w:val="00F417B6"/>
    <w:rsid w:val="00F4193F"/>
    <w:rsid w:val="00F431E4"/>
    <w:rsid w:val="00F44B6D"/>
    <w:rsid w:val="00F45EAA"/>
    <w:rsid w:val="00F524F4"/>
    <w:rsid w:val="00F53551"/>
    <w:rsid w:val="00F56896"/>
    <w:rsid w:val="00F57ED4"/>
    <w:rsid w:val="00F603B5"/>
    <w:rsid w:val="00F639AD"/>
    <w:rsid w:val="00F64EB1"/>
    <w:rsid w:val="00F653E7"/>
    <w:rsid w:val="00F67876"/>
    <w:rsid w:val="00F7107F"/>
    <w:rsid w:val="00F738F9"/>
    <w:rsid w:val="00F73A9E"/>
    <w:rsid w:val="00F771A6"/>
    <w:rsid w:val="00F77740"/>
    <w:rsid w:val="00F802CC"/>
    <w:rsid w:val="00F80938"/>
    <w:rsid w:val="00F83A70"/>
    <w:rsid w:val="00F9320E"/>
    <w:rsid w:val="00F943AA"/>
    <w:rsid w:val="00F957C3"/>
    <w:rsid w:val="00F96789"/>
    <w:rsid w:val="00FA09F3"/>
    <w:rsid w:val="00FA3156"/>
    <w:rsid w:val="00FA31BA"/>
    <w:rsid w:val="00FA3D14"/>
    <w:rsid w:val="00FA59D6"/>
    <w:rsid w:val="00FA7CD0"/>
    <w:rsid w:val="00FB06AB"/>
    <w:rsid w:val="00FB1C1F"/>
    <w:rsid w:val="00FB3396"/>
    <w:rsid w:val="00FB3CD9"/>
    <w:rsid w:val="00FB6097"/>
    <w:rsid w:val="00FB6662"/>
    <w:rsid w:val="00FC0AB5"/>
    <w:rsid w:val="00FC159B"/>
    <w:rsid w:val="00FC334E"/>
    <w:rsid w:val="00FC33E7"/>
    <w:rsid w:val="00FC36D1"/>
    <w:rsid w:val="00FC387C"/>
    <w:rsid w:val="00FC70EE"/>
    <w:rsid w:val="00FD08DE"/>
    <w:rsid w:val="00FD1C17"/>
    <w:rsid w:val="00FD5938"/>
    <w:rsid w:val="00FD6295"/>
    <w:rsid w:val="00FD7EEA"/>
    <w:rsid w:val="00FE18BC"/>
    <w:rsid w:val="00FE32C2"/>
    <w:rsid w:val="00FE442F"/>
    <w:rsid w:val="00FE478C"/>
    <w:rsid w:val="00FE6475"/>
    <w:rsid w:val="00FE64E5"/>
    <w:rsid w:val="00FE6DBB"/>
    <w:rsid w:val="00FF007C"/>
    <w:rsid w:val="00FF61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7D5381"/>
  <w15:docId w15:val="{1404A073-5252-9946-B245-752333C4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BBF"/>
    <w:pPr>
      <w:autoSpaceDE w:val="0"/>
      <w:autoSpaceDN w:val="0"/>
      <w:adjustRightInd w:val="0"/>
      <w:jc w:val="both"/>
    </w:pPr>
    <w:rPr>
      <w:sz w:val="22"/>
      <w:szCs w:val="24"/>
      <w:lang w:val="en-GB"/>
    </w:rPr>
  </w:style>
  <w:style w:type="paragraph" w:styleId="Heading1">
    <w:name w:val="heading 1"/>
    <w:basedOn w:val="Normal"/>
    <w:next w:val="Normal"/>
    <w:qFormat/>
    <w:rsid w:val="00765BBF"/>
    <w:pPr>
      <w:numPr>
        <w:numId w:val="9"/>
      </w:numPr>
      <w:outlineLvl w:val="0"/>
    </w:pPr>
  </w:style>
  <w:style w:type="paragraph" w:styleId="Heading2">
    <w:name w:val="heading 2"/>
    <w:basedOn w:val="Normal"/>
    <w:next w:val="Normal"/>
    <w:qFormat/>
    <w:rsid w:val="00765BBF"/>
    <w:pPr>
      <w:outlineLvl w:val="1"/>
    </w:pPr>
    <w:rPr>
      <w:b/>
      <w:bCs/>
      <w:sz w:val="28"/>
      <w:szCs w:val="28"/>
    </w:rPr>
  </w:style>
  <w:style w:type="paragraph" w:styleId="Heading3">
    <w:name w:val="heading 3"/>
    <w:basedOn w:val="Normal"/>
    <w:next w:val="Normal"/>
    <w:qFormat/>
    <w:rsid w:val="00765BBF"/>
    <w:pPr>
      <w:numPr>
        <w:ilvl w:val="2"/>
        <w:numId w:val="7"/>
      </w:numPr>
      <w:outlineLvl w:val="2"/>
    </w:pPr>
    <w:rPr>
      <w:b/>
      <w:bCs/>
    </w:rPr>
  </w:style>
  <w:style w:type="paragraph" w:styleId="Heading4">
    <w:name w:val="heading 4"/>
    <w:basedOn w:val="Normal"/>
    <w:next w:val="Normal"/>
    <w:qFormat/>
    <w:rsid w:val="00765BBF"/>
    <w:pPr>
      <w:numPr>
        <w:ilvl w:val="3"/>
        <w:numId w:val="10"/>
      </w:numPr>
      <w:ind w:right="2880"/>
      <w:outlineLvl w:val="3"/>
    </w:pPr>
    <w:rPr>
      <w:b/>
      <w:bCs/>
    </w:rPr>
  </w:style>
  <w:style w:type="paragraph" w:styleId="Heading5">
    <w:name w:val="heading 5"/>
    <w:basedOn w:val="Normal"/>
    <w:next w:val="Normal"/>
    <w:qFormat/>
    <w:rsid w:val="00765BBF"/>
    <w:pPr>
      <w:numPr>
        <w:ilvl w:val="4"/>
        <w:numId w:val="10"/>
      </w:numPr>
      <w:ind w:right="2880"/>
      <w:outlineLvl w:val="4"/>
    </w:pPr>
    <w:rPr>
      <w:i/>
      <w:iCs/>
    </w:rPr>
  </w:style>
  <w:style w:type="paragraph" w:styleId="Heading6">
    <w:name w:val="heading 6"/>
    <w:basedOn w:val="Normal"/>
    <w:next w:val="Normal"/>
    <w:qFormat/>
    <w:rsid w:val="00765BBF"/>
    <w:pPr>
      <w:numPr>
        <w:ilvl w:val="5"/>
        <w:numId w:val="10"/>
      </w:numPr>
      <w:spacing w:before="240" w:after="60"/>
      <w:outlineLvl w:val="5"/>
    </w:pPr>
    <w:rPr>
      <w:b/>
      <w:bCs/>
      <w:szCs w:val="22"/>
    </w:rPr>
  </w:style>
  <w:style w:type="paragraph" w:styleId="Heading7">
    <w:name w:val="heading 7"/>
    <w:basedOn w:val="Normal"/>
    <w:next w:val="Normal"/>
    <w:qFormat/>
    <w:rsid w:val="00765BBF"/>
    <w:pPr>
      <w:numPr>
        <w:ilvl w:val="6"/>
        <w:numId w:val="10"/>
      </w:numPr>
      <w:spacing w:before="240" w:after="60"/>
      <w:outlineLvl w:val="6"/>
    </w:pPr>
  </w:style>
  <w:style w:type="paragraph" w:styleId="Heading8">
    <w:name w:val="heading 8"/>
    <w:basedOn w:val="Normal"/>
    <w:next w:val="Normal"/>
    <w:qFormat/>
    <w:rsid w:val="00765BBF"/>
    <w:pPr>
      <w:numPr>
        <w:ilvl w:val="7"/>
        <w:numId w:val="10"/>
      </w:numPr>
      <w:spacing w:before="240" w:after="60"/>
      <w:outlineLvl w:val="7"/>
    </w:pPr>
    <w:rPr>
      <w:i/>
      <w:iCs/>
    </w:rPr>
  </w:style>
  <w:style w:type="paragraph" w:styleId="Heading9">
    <w:name w:val="heading 9"/>
    <w:basedOn w:val="Normal"/>
    <w:next w:val="Normal"/>
    <w:qFormat/>
    <w:rsid w:val="00765BBF"/>
    <w:pPr>
      <w:numPr>
        <w:ilvl w:val="8"/>
        <w:numId w:val="10"/>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765BBF"/>
    <w:pPr>
      <w:numPr>
        <w:numId w:val="2"/>
      </w:numPr>
      <w:spacing w:after="260"/>
      <w:jc w:val="both"/>
    </w:pPr>
    <w:rPr>
      <w:i/>
      <w:sz w:val="22"/>
      <w:szCs w:val="24"/>
      <w:lang w:val="en-GB"/>
    </w:rPr>
  </w:style>
  <w:style w:type="paragraph" w:customStyle="1" w:styleId="1Para">
    <w:name w:val="1Para"/>
    <w:basedOn w:val="Normal"/>
    <w:rsid w:val="00765BBF"/>
    <w:pPr>
      <w:numPr>
        <w:numId w:val="12"/>
      </w:numPr>
      <w:tabs>
        <w:tab w:val="left" w:pos="1440"/>
      </w:tabs>
      <w:autoSpaceDE/>
      <w:autoSpaceDN/>
      <w:adjustRightInd/>
      <w:spacing w:before="260" w:after="260"/>
    </w:pPr>
    <w:rPr>
      <w:szCs w:val="22"/>
    </w:rPr>
  </w:style>
  <w:style w:type="paragraph" w:customStyle="1" w:styleId="2Para">
    <w:name w:val="2Para"/>
    <w:basedOn w:val="Normal"/>
    <w:uiPriority w:val="99"/>
    <w:rsid w:val="00765BBF"/>
    <w:pPr>
      <w:numPr>
        <w:ilvl w:val="1"/>
        <w:numId w:val="11"/>
      </w:numPr>
      <w:tabs>
        <w:tab w:val="clear" w:pos="0"/>
        <w:tab w:val="left" w:pos="1440"/>
      </w:tabs>
      <w:autoSpaceDE/>
      <w:autoSpaceDN/>
      <w:adjustRightInd/>
      <w:spacing w:before="260" w:after="260"/>
    </w:pPr>
    <w:rPr>
      <w:szCs w:val="22"/>
    </w:rPr>
  </w:style>
  <w:style w:type="paragraph" w:customStyle="1" w:styleId="3Heading">
    <w:name w:val="3Heading"/>
    <w:basedOn w:val="TOC3"/>
    <w:next w:val="3Para"/>
    <w:rsid w:val="00765BBF"/>
    <w:pPr>
      <w:keepNext/>
      <w:spacing w:before="260" w:after="260"/>
      <w:ind w:left="0" w:right="2880"/>
      <w:outlineLvl w:val="2"/>
    </w:pPr>
    <w:rPr>
      <w:b/>
      <w:bCs/>
      <w:i/>
      <w:iCs/>
      <w:szCs w:val="22"/>
    </w:rPr>
  </w:style>
  <w:style w:type="paragraph" w:styleId="TOC3">
    <w:name w:val="toc 3"/>
    <w:basedOn w:val="Normal"/>
    <w:next w:val="Normal"/>
    <w:autoRedefine/>
    <w:semiHidden/>
    <w:rsid w:val="009A2153"/>
    <w:pPr>
      <w:ind w:left="480"/>
    </w:pPr>
  </w:style>
  <w:style w:type="paragraph" w:customStyle="1" w:styleId="3Para">
    <w:name w:val="3Para"/>
    <w:basedOn w:val="Normal"/>
    <w:uiPriority w:val="99"/>
    <w:rsid w:val="00765BBF"/>
    <w:pPr>
      <w:numPr>
        <w:ilvl w:val="2"/>
        <w:numId w:val="11"/>
      </w:numPr>
      <w:tabs>
        <w:tab w:val="clear" w:pos="0"/>
        <w:tab w:val="left" w:pos="1440"/>
      </w:tabs>
      <w:spacing w:before="260" w:after="260"/>
    </w:pPr>
  </w:style>
  <w:style w:type="paragraph" w:customStyle="1" w:styleId="4Para">
    <w:name w:val="4Para"/>
    <w:basedOn w:val="Normal"/>
    <w:uiPriority w:val="99"/>
    <w:rsid w:val="00765BBF"/>
    <w:pPr>
      <w:numPr>
        <w:ilvl w:val="3"/>
        <w:numId w:val="11"/>
      </w:numPr>
      <w:tabs>
        <w:tab w:val="clear" w:pos="0"/>
        <w:tab w:val="left" w:pos="1440"/>
      </w:tabs>
      <w:autoSpaceDE/>
      <w:autoSpaceDN/>
      <w:adjustRightInd/>
      <w:spacing w:before="260" w:after="260"/>
    </w:pPr>
  </w:style>
  <w:style w:type="paragraph" w:customStyle="1" w:styleId="5Para">
    <w:name w:val="5Para"/>
    <w:basedOn w:val="Normal"/>
    <w:uiPriority w:val="99"/>
    <w:rsid w:val="00765BBF"/>
    <w:pPr>
      <w:numPr>
        <w:ilvl w:val="4"/>
        <w:numId w:val="11"/>
      </w:numPr>
      <w:tabs>
        <w:tab w:val="clear" w:pos="0"/>
        <w:tab w:val="left" w:pos="1440"/>
      </w:tabs>
      <w:autoSpaceDE/>
      <w:autoSpaceDN/>
      <w:adjustRightInd/>
      <w:spacing w:before="260" w:after="260"/>
    </w:pPr>
  </w:style>
  <w:style w:type="paragraph" w:customStyle="1" w:styleId="6Para">
    <w:name w:val="6Para"/>
    <w:basedOn w:val="Normal"/>
    <w:uiPriority w:val="99"/>
    <w:rsid w:val="00765BBF"/>
    <w:pPr>
      <w:numPr>
        <w:ilvl w:val="5"/>
        <w:numId w:val="11"/>
      </w:numPr>
      <w:tabs>
        <w:tab w:val="clear" w:pos="0"/>
        <w:tab w:val="left" w:pos="1440"/>
      </w:tabs>
      <w:autoSpaceDE/>
      <w:autoSpaceDN/>
      <w:adjustRightInd/>
      <w:spacing w:before="260" w:after="260"/>
    </w:pPr>
  </w:style>
  <w:style w:type="paragraph" w:customStyle="1" w:styleId="7Para">
    <w:name w:val="7Para"/>
    <w:basedOn w:val="Normal"/>
    <w:uiPriority w:val="99"/>
    <w:rsid w:val="00765BBF"/>
    <w:pPr>
      <w:numPr>
        <w:ilvl w:val="6"/>
        <w:numId w:val="11"/>
      </w:numPr>
      <w:tabs>
        <w:tab w:val="clear" w:pos="0"/>
        <w:tab w:val="left" w:pos="1440"/>
      </w:tabs>
      <w:autoSpaceDE/>
      <w:autoSpaceDN/>
      <w:adjustRightInd/>
      <w:spacing w:before="260" w:after="260"/>
    </w:pPr>
  </w:style>
  <w:style w:type="paragraph" w:customStyle="1" w:styleId="8Para">
    <w:name w:val="8Para"/>
    <w:basedOn w:val="Normal"/>
    <w:uiPriority w:val="99"/>
    <w:rsid w:val="00765BBF"/>
    <w:pPr>
      <w:numPr>
        <w:ilvl w:val="7"/>
        <w:numId w:val="11"/>
      </w:numPr>
      <w:tabs>
        <w:tab w:val="clear" w:pos="0"/>
        <w:tab w:val="left" w:pos="1440"/>
      </w:tabs>
      <w:autoSpaceDE/>
      <w:autoSpaceDN/>
      <w:adjustRightInd/>
      <w:spacing w:before="260" w:after="260"/>
    </w:pPr>
  </w:style>
  <w:style w:type="paragraph" w:customStyle="1" w:styleId="Blockquote">
    <w:name w:val="Blockquote"/>
    <w:basedOn w:val="Normal"/>
    <w:next w:val="Normal"/>
    <w:rsid w:val="009A2153"/>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765BBF"/>
    <w:pPr>
      <w:numPr>
        <w:numId w:val="1"/>
      </w:numPr>
      <w:spacing w:line="480" w:lineRule="auto"/>
    </w:pPr>
  </w:style>
  <w:style w:type="character" w:styleId="FootnoteReference">
    <w:name w:val="footnote reference"/>
    <w:rsid w:val="008E47BA"/>
    <w:rPr>
      <w:vertAlign w:val="superscript"/>
    </w:rPr>
  </w:style>
  <w:style w:type="paragraph" w:customStyle="1" w:styleId="List-">
    <w:name w:val="List_-"/>
    <w:basedOn w:val="Normal"/>
    <w:rsid w:val="00765BBF"/>
    <w:pPr>
      <w:numPr>
        <w:ilvl w:val="2"/>
        <w:numId w:val="10"/>
      </w:numPr>
      <w:spacing w:before="260" w:after="260"/>
    </w:pPr>
  </w:style>
  <w:style w:type="paragraph" w:customStyle="1" w:styleId="List123">
    <w:name w:val="List_1_2_3"/>
    <w:basedOn w:val="Normal"/>
    <w:rsid w:val="00765BBF"/>
    <w:pPr>
      <w:numPr>
        <w:ilvl w:val="1"/>
        <w:numId w:val="10"/>
      </w:numPr>
      <w:spacing w:before="260" w:after="260"/>
    </w:pPr>
  </w:style>
  <w:style w:type="paragraph" w:customStyle="1" w:styleId="Listabc">
    <w:name w:val="List_a_b_c"/>
    <w:basedOn w:val="Normal"/>
    <w:rsid w:val="00765BBF"/>
    <w:pPr>
      <w:numPr>
        <w:numId w:val="10"/>
      </w:numPr>
      <w:spacing w:before="260" w:after="260"/>
    </w:pPr>
  </w:style>
  <w:style w:type="paragraph" w:customStyle="1" w:styleId="ListIndt2">
    <w:name w:val="ListIndt_2"/>
    <w:basedOn w:val="Normal"/>
    <w:rsid w:val="00765BBF"/>
    <w:pPr>
      <w:spacing w:before="260" w:after="260"/>
      <w:ind w:left="1440"/>
    </w:pPr>
  </w:style>
  <w:style w:type="paragraph" w:customStyle="1" w:styleId="ListIndt3">
    <w:name w:val="ListIndt_3"/>
    <w:basedOn w:val="Normal"/>
    <w:rsid w:val="00765BBF"/>
    <w:pPr>
      <w:spacing w:before="260" w:after="260"/>
      <w:ind w:left="1800"/>
    </w:pPr>
  </w:style>
  <w:style w:type="paragraph" w:customStyle="1" w:styleId="ListIndt4">
    <w:name w:val="ListIndt_4"/>
    <w:basedOn w:val="Normal"/>
    <w:rsid w:val="00765BBF"/>
    <w:pPr>
      <w:spacing w:before="260" w:after="260"/>
      <w:ind w:left="2160"/>
    </w:pPr>
  </w:style>
  <w:style w:type="paragraph" w:customStyle="1" w:styleId="ListTab0">
    <w:name w:val="ListTab_0"/>
    <w:basedOn w:val="Normal"/>
    <w:rsid w:val="00765BBF"/>
    <w:pPr>
      <w:spacing w:before="260" w:after="260"/>
    </w:pPr>
  </w:style>
  <w:style w:type="paragraph" w:customStyle="1" w:styleId="ListTab2">
    <w:name w:val="ListTab_2"/>
    <w:basedOn w:val="Normal"/>
    <w:rsid w:val="00765BBF"/>
    <w:pPr>
      <w:spacing w:before="260" w:after="260"/>
      <w:ind w:firstLine="1440"/>
    </w:pPr>
  </w:style>
  <w:style w:type="paragraph" w:customStyle="1" w:styleId="ListTab3">
    <w:name w:val="ListTab_3"/>
    <w:basedOn w:val="Normal"/>
    <w:rsid w:val="00765BBF"/>
    <w:pPr>
      <w:spacing w:before="260" w:after="260"/>
      <w:ind w:firstLine="1800"/>
    </w:pPr>
  </w:style>
  <w:style w:type="paragraph" w:customStyle="1" w:styleId="ListTab4">
    <w:name w:val="ListTab_4"/>
    <w:basedOn w:val="Normal"/>
    <w:rsid w:val="00765BBF"/>
    <w:pPr>
      <w:spacing w:before="260" w:after="260"/>
      <w:ind w:firstLine="2160"/>
    </w:pPr>
  </w:style>
  <w:style w:type="paragraph" w:customStyle="1" w:styleId="Note">
    <w:name w:val="Note"/>
    <w:next w:val="Normal"/>
    <w:rsid w:val="00765BBF"/>
    <w:pPr>
      <w:numPr>
        <w:numId w:val="5"/>
      </w:numPr>
      <w:spacing w:after="260"/>
      <w:ind w:firstLine="1800"/>
      <w:jc w:val="both"/>
    </w:pPr>
    <w:rPr>
      <w:i/>
      <w:sz w:val="22"/>
      <w:szCs w:val="24"/>
      <w:lang w:val="en-GB"/>
    </w:rPr>
  </w:style>
  <w:style w:type="paragraph" w:customStyle="1" w:styleId="ParaIndt2">
    <w:name w:val="ParaIndt_2"/>
    <w:basedOn w:val="Normal"/>
    <w:rsid w:val="00765BBF"/>
    <w:pPr>
      <w:spacing w:before="260" w:after="260"/>
      <w:ind w:left="1440"/>
    </w:pPr>
  </w:style>
  <w:style w:type="paragraph" w:customStyle="1" w:styleId="ParaIndt3">
    <w:name w:val="ParaIndt_3"/>
    <w:basedOn w:val="Normal"/>
    <w:rsid w:val="00765BBF"/>
    <w:pPr>
      <w:spacing w:before="260" w:after="260"/>
      <w:ind w:left="1800"/>
    </w:pPr>
  </w:style>
  <w:style w:type="paragraph" w:customStyle="1" w:styleId="ParaIndt4">
    <w:name w:val="ParaIndt_4"/>
    <w:basedOn w:val="Normal"/>
    <w:rsid w:val="00765BBF"/>
    <w:pPr>
      <w:spacing w:before="260" w:after="260"/>
      <w:ind w:left="2160"/>
    </w:pPr>
  </w:style>
  <w:style w:type="paragraph" w:customStyle="1" w:styleId="ParaTab0">
    <w:name w:val="ParaTab_0"/>
    <w:basedOn w:val="Normal"/>
    <w:rsid w:val="00765BBF"/>
    <w:pPr>
      <w:spacing w:before="260" w:after="260"/>
    </w:pPr>
  </w:style>
  <w:style w:type="paragraph" w:customStyle="1" w:styleId="ParaTab2">
    <w:name w:val="ParaTab_2"/>
    <w:basedOn w:val="Normal"/>
    <w:rsid w:val="00765BBF"/>
    <w:pPr>
      <w:spacing w:before="260" w:after="260"/>
      <w:ind w:firstLine="1440"/>
    </w:pPr>
  </w:style>
  <w:style w:type="paragraph" w:customStyle="1" w:styleId="ParaTab3">
    <w:name w:val="ParaTab_3"/>
    <w:basedOn w:val="Normal"/>
    <w:rsid w:val="00765BBF"/>
    <w:pPr>
      <w:spacing w:before="260" w:after="260"/>
      <w:ind w:firstLine="1800"/>
    </w:pPr>
  </w:style>
  <w:style w:type="paragraph" w:customStyle="1" w:styleId="ParaTab4">
    <w:name w:val="ParaTab_4"/>
    <w:basedOn w:val="Normal"/>
    <w:link w:val="ParaTab4Char"/>
    <w:rsid w:val="00765BBF"/>
    <w:pPr>
      <w:spacing w:before="260" w:after="260"/>
      <w:ind w:firstLine="2160"/>
    </w:pPr>
  </w:style>
  <w:style w:type="paragraph" w:customStyle="1" w:styleId="1Heading">
    <w:name w:val="1Heading"/>
    <w:basedOn w:val="TOC1"/>
    <w:next w:val="2Para"/>
    <w:uiPriority w:val="99"/>
    <w:rsid w:val="00765BBF"/>
    <w:pPr>
      <w:keepNext/>
      <w:numPr>
        <w:numId w:val="11"/>
      </w:numPr>
      <w:autoSpaceDE/>
      <w:autoSpaceDN/>
      <w:adjustRightInd/>
      <w:spacing w:before="520" w:after="260"/>
      <w:ind w:right="2880"/>
      <w:outlineLvl w:val="0"/>
    </w:pPr>
    <w:rPr>
      <w:b/>
      <w:caps/>
      <w:szCs w:val="22"/>
    </w:rPr>
  </w:style>
  <w:style w:type="paragraph" w:styleId="TOC1">
    <w:name w:val="toc 1"/>
    <w:basedOn w:val="Normal"/>
    <w:next w:val="Normal"/>
    <w:autoRedefine/>
    <w:semiHidden/>
    <w:rsid w:val="009A2153"/>
  </w:style>
  <w:style w:type="paragraph" w:customStyle="1" w:styleId="2Heading">
    <w:name w:val="2Heading"/>
    <w:basedOn w:val="2Para"/>
    <w:next w:val="3Para"/>
    <w:rsid w:val="00765BBF"/>
    <w:pPr>
      <w:keepNext/>
      <w:tabs>
        <w:tab w:val="left" w:pos="720"/>
      </w:tabs>
      <w:ind w:left="720" w:right="2880" w:hanging="720"/>
      <w:outlineLvl w:val="1"/>
    </w:pPr>
    <w:rPr>
      <w:b/>
    </w:rPr>
  </w:style>
  <w:style w:type="paragraph" w:styleId="TOC2">
    <w:name w:val="toc 2"/>
    <w:basedOn w:val="Normal"/>
    <w:next w:val="Normal"/>
    <w:autoRedefine/>
    <w:semiHidden/>
    <w:rsid w:val="009A2153"/>
    <w:pPr>
      <w:ind w:left="240"/>
    </w:pPr>
  </w:style>
  <w:style w:type="paragraph" w:customStyle="1" w:styleId="X">
    <w:name w:val="X"/>
    <w:basedOn w:val="Normal"/>
    <w:rsid w:val="00765BBF"/>
    <w:pPr>
      <w:numPr>
        <w:numId w:val="4"/>
      </w:numPr>
      <w:tabs>
        <w:tab w:val="clear" w:pos="360"/>
      </w:tabs>
    </w:pPr>
    <w:rPr>
      <w:lang w:val="en-US"/>
    </w:rPr>
  </w:style>
  <w:style w:type="paragraph" w:customStyle="1" w:styleId="TabsDefault">
    <w:name w:val="TabsDefault"/>
    <w:rsid w:val="009A2153"/>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rsid w:val="00DA52CB"/>
    <w:pPr>
      <w:tabs>
        <w:tab w:val="center" w:pos="4320"/>
        <w:tab w:val="right" w:pos="8640"/>
      </w:tabs>
      <w:autoSpaceDE/>
      <w:autoSpaceDN/>
      <w:adjustRightInd/>
    </w:pPr>
  </w:style>
  <w:style w:type="paragraph" w:styleId="Footer">
    <w:name w:val="footer"/>
    <w:basedOn w:val="Normal"/>
    <w:rsid w:val="00DA52CB"/>
    <w:pPr>
      <w:tabs>
        <w:tab w:val="center" w:pos="4320"/>
        <w:tab w:val="right" w:pos="8640"/>
      </w:tabs>
      <w:autoSpaceDE/>
      <w:autoSpaceDN/>
      <w:adjustRightInd/>
    </w:pPr>
  </w:style>
  <w:style w:type="character" w:styleId="PageNumber">
    <w:name w:val="page number"/>
    <w:basedOn w:val="DefaultParagraphFont"/>
    <w:rsid w:val="00DA52CB"/>
  </w:style>
  <w:style w:type="table" w:styleId="TableGrid">
    <w:name w:val="Table Grid"/>
    <w:basedOn w:val="TableNormal"/>
    <w:rsid w:val="00DA5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8169FE"/>
    <w:pPr>
      <w:jc w:val="center"/>
      <w:outlineLvl w:val="0"/>
    </w:pPr>
    <w:rPr>
      <w:b/>
      <w:szCs w:val="22"/>
    </w:rPr>
  </w:style>
  <w:style w:type="paragraph" w:customStyle="1" w:styleId="RefPrincipal">
    <w:name w:val="RefPrincipal"/>
    <w:basedOn w:val="Normal"/>
    <w:rsid w:val="00C5363D"/>
    <w:pPr>
      <w:numPr>
        <w:numId w:val="3"/>
      </w:numPr>
    </w:pPr>
  </w:style>
  <w:style w:type="paragraph" w:customStyle="1" w:styleId="RefRegular">
    <w:name w:val="RefRegular"/>
    <w:basedOn w:val="Normal"/>
    <w:rsid w:val="00507204"/>
    <w:pPr>
      <w:ind w:left="331" w:hanging="216"/>
    </w:pPr>
  </w:style>
  <w:style w:type="paragraph" w:customStyle="1" w:styleId="ParaIndt1">
    <w:name w:val="ParaIndt_1"/>
    <w:basedOn w:val="Normal"/>
    <w:rsid w:val="00765BBF"/>
    <w:pPr>
      <w:spacing w:before="260" w:after="260"/>
      <w:ind w:left="720"/>
    </w:pPr>
  </w:style>
  <w:style w:type="paragraph" w:customStyle="1" w:styleId="ParaTab1">
    <w:name w:val="ParaTab_1"/>
    <w:basedOn w:val="Normal"/>
    <w:rsid w:val="00805C05"/>
    <w:pPr>
      <w:ind w:firstLine="720"/>
    </w:pPr>
  </w:style>
  <w:style w:type="paragraph" w:customStyle="1" w:styleId="ListV">
    <w:name w:val="List_V"/>
    <w:basedOn w:val="Normal"/>
    <w:rsid w:val="00765BBF"/>
    <w:pPr>
      <w:numPr>
        <w:numId w:val="6"/>
      </w:numPr>
    </w:pPr>
  </w:style>
  <w:style w:type="paragraph" w:styleId="FootnoteText">
    <w:name w:val="footnote text"/>
    <w:basedOn w:val="Normal"/>
    <w:rsid w:val="00686187"/>
    <w:pPr>
      <w:ind w:left="115" w:hanging="115"/>
    </w:pPr>
    <w:rPr>
      <w:sz w:val="18"/>
      <w:szCs w:val="20"/>
    </w:rPr>
  </w:style>
  <w:style w:type="paragraph" w:customStyle="1" w:styleId="ListExSum">
    <w:name w:val="List_ExSum"/>
    <w:basedOn w:val="Normal"/>
    <w:rsid w:val="00765BBF"/>
    <w:pPr>
      <w:numPr>
        <w:numId w:val="8"/>
      </w:numPr>
    </w:pPr>
  </w:style>
  <w:style w:type="paragraph" w:styleId="BalloonText">
    <w:name w:val="Balloon Text"/>
    <w:basedOn w:val="Normal"/>
    <w:link w:val="BalloonTextChar"/>
    <w:rsid w:val="00305BCF"/>
    <w:rPr>
      <w:rFonts w:ascii="Tahoma" w:hAnsi="Tahoma" w:cs="Tahoma"/>
      <w:sz w:val="16"/>
      <w:szCs w:val="16"/>
    </w:rPr>
  </w:style>
  <w:style w:type="character" w:customStyle="1" w:styleId="BalloonTextChar">
    <w:name w:val="Balloon Text Char"/>
    <w:basedOn w:val="DefaultParagraphFont"/>
    <w:link w:val="BalloonText"/>
    <w:rsid w:val="00305BCF"/>
    <w:rPr>
      <w:rFonts w:ascii="Tahoma" w:hAnsi="Tahoma" w:cs="Tahoma"/>
      <w:sz w:val="16"/>
      <w:szCs w:val="16"/>
      <w:lang w:val="en-GB"/>
    </w:rPr>
  </w:style>
  <w:style w:type="character" w:styleId="Strong">
    <w:name w:val="Strong"/>
    <w:basedOn w:val="DefaultParagraphFont"/>
    <w:qFormat/>
    <w:rsid w:val="005A6B97"/>
    <w:rPr>
      <w:b/>
      <w:bCs/>
    </w:rPr>
  </w:style>
  <w:style w:type="character" w:styleId="Hyperlink">
    <w:name w:val="Hyperlink"/>
    <w:basedOn w:val="DefaultParagraphFont"/>
    <w:rsid w:val="005A6B97"/>
    <w:rPr>
      <w:color w:val="0000FF"/>
      <w:u w:val="single"/>
    </w:rPr>
  </w:style>
  <w:style w:type="character" w:customStyle="1" w:styleId="FootnoteCharacters">
    <w:name w:val="Footnote Characters"/>
    <w:rsid w:val="005A6B97"/>
    <w:rPr>
      <w:vertAlign w:val="superscript"/>
    </w:rPr>
  </w:style>
  <w:style w:type="character" w:customStyle="1" w:styleId="unicode1">
    <w:name w:val="unicode1"/>
    <w:basedOn w:val="DefaultParagraphFont"/>
    <w:rsid w:val="005A6B97"/>
    <w:rPr>
      <w:rFonts w:ascii="Arial Unicode MS" w:eastAsia="Arial Unicode MS" w:hAnsi="Arial Unicode MS" w:cs="Arial Unicode MS" w:hint="eastAsia"/>
    </w:rPr>
  </w:style>
  <w:style w:type="character" w:styleId="CommentReference">
    <w:name w:val="annotation reference"/>
    <w:basedOn w:val="DefaultParagraphFont"/>
    <w:rsid w:val="00876CE1"/>
    <w:rPr>
      <w:sz w:val="16"/>
      <w:szCs w:val="16"/>
    </w:rPr>
  </w:style>
  <w:style w:type="paragraph" w:styleId="CommentText">
    <w:name w:val="annotation text"/>
    <w:basedOn w:val="Normal"/>
    <w:link w:val="CommentTextChar"/>
    <w:rsid w:val="00876CE1"/>
    <w:rPr>
      <w:sz w:val="20"/>
      <w:szCs w:val="20"/>
    </w:rPr>
  </w:style>
  <w:style w:type="character" w:customStyle="1" w:styleId="CommentTextChar">
    <w:name w:val="Comment Text Char"/>
    <w:basedOn w:val="DefaultParagraphFont"/>
    <w:link w:val="CommentText"/>
    <w:rsid w:val="00876CE1"/>
    <w:rPr>
      <w:lang w:val="en-GB"/>
    </w:rPr>
  </w:style>
  <w:style w:type="paragraph" w:styleId="CommentSubject">
    <w:name w:val="annotation subject"/>
    <w:basedOn w:val="CommentText"/>
    <w:next w:val="CommentText"/>
    <w:link w:val="CommentSubjectChar"/>
    <w:rsid w:val="00876CE1"/>
    <w:rPr>
      <w:b/>
      <w:bCs/>
    </w:rPr>
  </w:style>
  <w:style w:type="character" w:customStyle="1" w:styleId="CommentSubjectChar">
    <w:name w:val="Comment Subject Char"/>
    <w:basedOn w:val="CommentTextChar"/>
    <w:link w:val="CommentSubject"/>
    <w:rsid w:val="00876CE1"/>
    <w:rPr>
      <w:b/>
      <w:bCs/>
      <w:lang w:val="en-GB"/>
    </w:rPr>
  </w:style>
  <w:style w:type="character" w:styleId="FollowedHyperlink">
    <w:name w:val="FollowedHyperlink"/>
    <w:basedOn w:val="DefaultParagraphFont"/>
    <w:rsid w:val="00F802CC"/>
    <w:rPr>
      <w:color w:val="800080" w:themeColor="followedHyperlink"/>
      <w:u w:val="single"/>
    </w:rPr>
  </w:style>
  <w:style w:type="character" w:styleId="BookTitle">
    <w:name w:val="Book Title"/>
    <w:basedOn w:val="DefaultParagraphFont"/>
    <w:uiPriority w:val="33"/>
    <w:qFormat/>
    <w:rsid w:val="00AE057F"/>
    <w:rPr>
      <w:b/>
      <w:bCs/>
      <w:smallCaps/>
      <w:spacing w:val="5"/>
    </w:rPr>
  </w:style>
  <w:style w:type="paragraph" w:customStyle="1" w:styleId="Default">
    <w:name w:val="Default"/>
    <w:rsid w:val="00A91E9C"/>
    <w:pPr>
      <w:autoSpaceDE w:val="0"/>
      <w:autoSpaceDN w:val="0"/>
      <w:adjustRightInd w:val="0"/>
    </w:pPr>
    <w:rPr>
      <w:color w:val="000000"/>
      <w:sz w:val="24"/>
      <w:szCs w:val="24"/>
      <w:lang w:val="en-GB" w:eastAsia="en-GB"/>
    </w:rPr>
  </w:style>
  <w:style w:type="paragraph" w:customStyle="1" w:styleId="BoldCentered">
    <w:name w:val="Bold Centered"/>
    <w:basedOn w:val="Normal"/>
    <w:rsid w:val="005711A8"/>
    <w:pPr>
      <w:widowControl w:val="0"/>
      <w:tabs>
        <w:tab w:val="left" w:pos="360"/>
        <w:tab w:val="left" w:pos="720"/>
        <w:tab w:val="left" w:pos="1080"/>
        <w:tab w:val="left" w:pos="1440"/>
        <w:tab w:val="left" w:pos="1800"/>
        <w:tab w:val="left" w:pos="2160"/>
      </w:tabs>
      <w:autoSpaceDE/>
      <w:autoSpaceDN/>
      <w:adjustRightInd/>
      <w:spacing w:line="240" w:lineRule="exact"/>
      <w:jc w:val="center"/>
    </w:pPr>
    <w:rPr>
      <w:rFonts w:eastAsia="SimSun"/>
      <w:b/>
      <w:sz w:val="20"/>
      <w:szCs w:val="20"/>
      <w:lang w:eastAsia="zh-CN"/>
    </w:rPr>
  </w:style>
  <w:style w:type="paragraph" w:customStyle="1" w:styleId="Indent-a">
    <w:name w:val="Indent-a)"/>
    <w:basedOn w:val="Normal"/>
    <w:link w:val="Indent-aChar"/>
    <w:rsid w:val="005711A8"/>
    <w:pPr>
      <w:widowControl w:val="0"/>
      <w:tabs>
        <w:tab w:val="left" w:pos="360"/>
        <w:tab w:val="left" w:pos="720"/>
        <w:tab w:val="left" w:pos="1080"/>
        <w:tab w:val="left" w:pos="1440"/>
        <w:tab w:val="left" w:pos="1800"/>
        <w:tab w:val="left" w:pos="2160"/>
      </w:tabs>
      <w:autoSpaceDE/>
      <w:autoSpaceDN/>
      <w:adjustRightInd/>
      <w:spacing w:line="240" w:lineRule="exact"/>
      <w:ind w:left="720" w:hanging="720"/>
    </w:pPr>
    <w:rPr>
      <w:rFonts w:eastAsia="SimSun"/>
      <w:sz w:val="20"/>
      <w:szCs w:val="20"/>
    </w:rPr>
  </w:style>
  <w:style w:type="character" w:customStyle="1" w:styleId="Indent-aChar">
    <w:name w:val="Indent-a) Char"/>
    <w:link w:val="Indent-a"/>
    <w:rsid w:val="005711A8"/>
    <w:rPr>
      <w:rFonts w:eastAsia="SimSun"/>
      <w:lang w:val="en-GB"/>
    </w:rPr>
  </w:style>
  <w:style w:type="paragraph" w:customStyle="1" w:styleId="Chapter">
    <w:name w:val="Chapter"/>
    <w:rsid w:val="00E85CB1"/>
    <w:pPr>
      <w:spacing w:line="360" w:lineRule="exact"/>
      <w:jc w:val="center"/>
    </w:pPr>
    <w:rPr>
      <w:rFonts w:ascii="Times New Roman Bold" w:eastAsia="SimSun" w:hAnsi="Times New Roman Bold" w:cs="Times New Roman Bold"/>
      <w:b/>
      <w:bCs/>
      <w:sz w:val="28"/>
      <w:szCs w:val="24"/>
      <w:lang w:val="en-GB"/>
    </w:rPr>
  </w:style>
  <w:style w:type="character" w:customStyle="1" w:styleId="ParaTab4Char">
    <w:name w:val="ParaTab_4 Char"/>
    <w:link w:val="ParaTab4"/>
    <w:rsid w:val="00E85CB1"/>
    <w:rPr>
      <w:sz w:val="22"/>
      <w:szCs w:val="24"/>
      <w:lang w:val="en-GB"/>
    </w:rPr>
  </w:style>
  <w:style w:type="paragraph" w:styleId="Revision">
    <w:name w:val="Revision"/>
    <w:hidden/>
    <w:uiPriority w:val="99"/>
    <w:semiHidden/>
    <w:rsid w:val="005D40C0"/>
    <w:rPr>
      <w:sz w:val="22"/>
      <w:szCs w:val="24"/>
      <w:lang w:val="en-GB"/>
    </w:rPr>
  </w:style>
  <w:style w:type="character" w:styleId="PlaceholderText">
    <w:name w:val="Placeholder Text"/>
    <w:basedOn w:val="DefaultParagraphFont"/>
    <w:uiPriority w:val="99"/>
    <w:semiHidden/>
    <w:rsid w:val="00FA09F3"/>
    <w:rPr>
      <w:color w:val="808080"/>
    </w:rPr>
  </w:style>
  <w:style w:type="table" w:customStyle="1" w:styleId="TableGrid1">
    <w:name w:val="Table Grid1"/>
    <w:basedOn w:val="TableNormal"/>
    <w:next w:val="TableGrid"/>
    <w:uiPriority w:val="59"/>
    <w:rsid w:val="00A33EFA"/>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7303">
      <w:bodyDiv w:val="1"/>
      <w:marLeft w:val="0"/>
      <w:marRight w:val="0"/>
      <w:marTop w:val="0"/>
      <w:marBottom w:val="0"/>
      <w:divBdr>
        <w:top w:val="none" w:sz="0" w:space="0" w:color="auto"/>
        <w:left w:val="none" w:sz="0" w:space="0" w:color="auto"/>
        <w:bottom w:val="none" w:sz="0" w:space="0" w:color="auto"/>
        <w:right w:val="none" w:sz="0" w:space="0" w:color="auto"/>
      </w:divBdr>
      <w:divsChild>
        <w:div w:id="1043477048">
          <w:marLeft w:val="0"/>
          <w:marRight w:val="0"/>
          <w:marTop w:val="0"/>
          <w:marBottom w:val="0"/>
          <w:divBdr>
            <w:top w:val="none" w:sz="0" w:space="0" w:color="auto"/>
            <w:left w:val="none" w:sz="0" w:space="0" w:color="auto"/>
            <w:bottom w:val="none" w:sz="0" w:space="0" w:color="auto"/>
            <w:right w:val="none" w:sz="0" w:space="0" w:color="auto"/>
          </w:divBdr>
          <w:divsChild>
            <w:div w:id="1931115227">
              <w:marLeft w:val="0"/>
              <w:marRight w:val="0"/>
              <w:marTop w:val="0"/>
              <w:marBottom w:val="0"/>
              <w:divBdr>
                <w:top w:val="none" w:sz="0" w:space="0" w:color="auto"/>
                <w:left w:val="none" w:sz="0" w:space="0" w:color="auto"/>
                <w:bottom w:val="none" w:sz="0" w:space="0" w:color="auto"/>
                <w:right w:val="none" w:sz="0" w:space="0" w:color="auto"/>
              </w:divBdr>
              <w:divsChild>
                <w:div w:id="10953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9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CAO-DPS\ICAO-DPS\Templates\Working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F92F297B690344A9901E8A2313D4CB" ma:contentTypeVersion="0" ma:contentTypeDescription="Create a new document." ma:contentTypeScope="" ma:versionID="adc123d37109973e8b20c06cc19dd6d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47E16-E73F-6649-934E-0D5FB982D5E9}"/>
</file>

<file path=customXml/itemProps2.xml><?xml version="1.0" encoding="utf-8"?>
<ds:datastoreItem xmlns:ds="http://schemas.openxmlformats.org/officeDocument/2006/customXml" ds:itemID="{842A7E27-068C-44BE-8F88-263C4FDC014E}"/>
</file>

<file path=customXml/itemProps3.xml><?xml version="1.0" encoding="utf-8"?>
<ds:datastoreItem xmlns:ds="http://schemas.openxmlformats.org/officeDocument/2006/customXml" ds:itemID="{26F65416-01CB-4759-A631-DF4DE82991E5}"/>
</file>

<file path=customXml/itemProps4.xml><?xml version="1.0" encoding="utf-8"?>
<ds:datastoreItem xmlns:ds="http://schemas.openxmlformats.org/officeDocument/2006/customXml" ds:itemID="{AC82A5A3-4E2C-456B-80C5-9FFBCAAF153B}"/>
</file>

<file path=docProps/app.xml><?xml version="1.0" encoding="utf-8"?>
<Properties xmlns="http://schemas.openxmlformats.org/officeDocument/2006/extended-properties" xmlns:vt="http://schemas.openxmlformats.org/officeDocument/2006/docPropsVTypes">
  <Template>C:\Program Files (x86)\ICAO-DPS\ICAO-DPS\Templates\WorkingPaper.dotx</Template>
  <TotalTime>0</TotalTime>
  <Pages>6</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IP template</vt:lpstr>
    </vt:vector>
  </TitlesOfParts>
  <Company>Met Office</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template</dc:title>
  <dc:creator>Brock, Greg</dc:creator>
  <cp:lastModifiedBy>Larry Burch</cp:lastModifiedBy>
  <cp:revision>2</cp:revision>
  <cp:lastPrinted>2017-01-29T18:30:00Z</cp:lastPrinted>
  <dcterms:created xsi:type="dcterms:W3CDTF">2018-03-23T00:19:00Z</dcterms:created>
  <dcterms:modified xsi:type="dcterms:W3CDTF">2018-03-23T00:19:00Z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Short">
    <vt:lpwstr>SADISOPSG</vt:lpwstr>
  </property>
  <property fmtid="{D5CDD505-2E9C-101B-9397-08002B2CF9AE}" pid="3" name="BodySession">
    <vt:lpwstr>19</vt:lpwstr>
  </property>
  <property fmtid="{D5CDD505-2E9C-101B-9397-08002B2CF9AE}" pid="4" name="BodyAbbrev">
    <vt:lpwstr>SADISOPSG</vt:lpwstr>
  </property>
  <property fmtid="{D5CDD505-2E9C-101B-9397-08002B2CF9AE}" pid="5" name="SessionNum">
    <vt:lpwstr>19</vt:lpwstr>
  </property>
  <property fmtid="{D5CDD505-2E9C-101B-9397-08002B2CF9AE}" pid="6" name="BodyTypeID">
    <vt:lpwstr>21</vt:lpwstr>
  </property>
  <property fmtid="{D5CDD505-2E9C-101B-9397-08002B2CF9AE}" pid="7" name="DocCatAbbre">
    <vt:lpwstr>IP</vt:lpwstr>
  </property>
  <property fmtid="{D5CDD505-2E9C-101B-9397-08002B2CF9AE}" pid="8" name="DocCatID">
    <vt:lpwstr>23</vt:lpwstr>
  </property>
  <property fmtid="{D5CDD505-2E9C-101B-9397-08002B2CF9AE}" pid="9" name="General">
    <vt:lpwstr/>
  </property>
  <property fmtid="{D5CDD505-2E9C-101B-9397-08002B2CF9AE}" pid="10" name="AgendaItems">
    <vt:lpwstr/>
  </property>
  <property fmtid="{D5CDD505-2E9C-101B-9397-08002B2CF9AE}" pid="11" name="DocNo">
    <vt:lpwstr>SADISOPSG/19-IP/xxxx</vt:lpwstr>
  </property>
  <property fmtid="{D5CDD505-2E9C-101B-9397-08002B2CF9AE}" pid="12" name="AddendumCorrigAppendix">
    <vt:lpwstr/>
  </property>
  <property fmtid="{D5CDD505-2E9C-101B-9397-08002B2CF9AE}" pid="13" name="TemplateType">
    <vt:lpwstr/>
  </property>
  <property fmtid="{D5CDD505-2E9C-101B-9397-08002B2CF9AE}" pid="14" name="OutlineExists">
    <vt:lpwstr/>
  </property>
  <property fmtid="{D5CDD505-2E9C-101B-9397-08002B2CF9AE}" pid="15" name="Committee">
    <vt:lpwstr/>
  </property>
  <property fmtid="{D5CDD505-2E9C-101B-9397-08002B2CF9AE}" pid="16" name="ContentTypeId">
    <vt:lpwstr>0x01010058F92F297B690344A9901E8A2313D4CB</vt:lpwstr>
  </property>
</Properties>
</file>